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E5" w:rsidRPr="00022BE5" w:rsidRDefault="00022BE5" w:rsidP="00442D65">
      <w:pPr>
        <w:spacing w:after="0" w:line="360" w:lineRule="auto"/>
        <w:rPr>
          <w:rFonts w:ascii="Karla" w:hAnsi="Karla"/>
          <w:sz w:val="16"/>
          <w:szCs w:val="24"/>
        </w:rPr>
      </w:pPr>
    </w:p>
    <w:p w:rsidR="00442D65" w:rsidRDefault="00C31734" w:rsidP="00442D65">
      <w:pPr>
        <w:spacing w:after="0" w:line="360" w:lineRule="auto"/>
        <w:rPr>
          <w:rFonts w:ascii="Karla" w:hAnsi="Karla"/>
          <w:sz w:val="24"/>
          <w:szCs w:val="24"/>
        </w:rPr>
      </w:pPr>
      <w:r>
        <w:rPr>
          <w:rFonts w:ascii="Karla" w:hAnsi="Karla"/>
          <w:sz w:val="24"/>
          <w:szCs w:val="24"/>
        </w:rPr>
        <w:t>Secretary, Environment and Planning Committee</w:t>
      </w:r>
      <w:r w:rsidR="00442D65" w:rsidRPr="00442D65">
        <w:rPr>
          <w:rFonts w:ascii="Karla" w:hAnsi="Karla"/>
          <w:sz w:val="24"/>
          <w:szCs w:val="24"/>
        </w:rPr>
        <w:t xml:space="preserve"> </w:t>
      </w:r>
    </w:p>
    <w:p w:rsidR="00442D65" w:rsidRDefault="00442D65" w:rsidP="00442D65">
      <w:pPr>
        <w:spacing w:after="0" w:line="360" w:lineRule="auto"/>
        <w:rPr>
          <w:rFonts w:ascii="Karla" w:hAnsi="Karla"/>
          <w:sz w:val="24"/>
          <w:szCs w:val="24"/>
        </w:rPr>
      </w:pPr>
      <w:r w:rsidRPr="00442D65">
        <w:rPr>
          <w:rFonts w:ascii="Karla" w:hAnsi="Karla"/>
          <w:sz w:val="24"/>
          <w:szCs w:val="24"/>
        </w:rPr>
        <w:t>Parliament House</w:t>
      </w:r>
    </w:p>
    <w:p w:rsidR="00442D65" w:rsidRDefault="00442D65" w:rsidP="00442D65">
      <w:pPr>
        <w:spacing w:after="0" w:line="360" w:lineRule="auto"/>
        <w:rPr>
          <w:rFonts w:ascii="Karla" w:hAnsi="Karla"/>
          <w:sz w:val="24"/>
          <w:szCs w:val="24"/>
        </w:rPr>
      </w:pPr>
      <w:r w:rsidRPr="00442D65">
        <w:rPr>
          <w:rFonts w:ascii="Karla" w:hAnsi="Karla"/>
          <w:sz w:val="24"/>
          <w:szCs w:val="24"/>
        </w:rPr>
        <w:t xml:space="preserve">Spring Street </w:t>
      </w:r>
    </w:p>
    <w:p w:rsidR="00442D65" w:rsidRDefault="00442D65" w:rsidP="00442D65">
      <w:pPr>
        <w:spacing w:after="0" w:line="360" w:lineRule="auto"/>
        <w:rPr>
          <w:rFonts w:ascii="Karla" w:hAnsi="Karla"/>
          <w:sz w:val="24"/>
          <w:szCs w:val="24"/>
        </w:rPr>
      </w:pPr>
      <w:r w:rsidRPr="00442D65">
        <w:rPr>
          <w:rFonts w:ascii="Karla" w:hAnsi="Karla"/>
          <w:sz w:val="24"/>
          <w:szCs w:val="24"/>
        </w:rPr>
        <w:t>Melbourne</w:t>
      </w:r>
      <w:r>
        <w:rPr>
          <w:rFonts w:ascii="Karla" w:hAnsi="Karla"/>
          <w:sz w:val="24"/>
          <w:szCs w:val="24"/>
        </w:rPr>
        <w:t xml:space="preserve">, Vic. </w:t>
      </w:r>
      <w:r w:rsidRPr="00442D65">
        <w:rPr>
          <w:rFonts w:ascii="Karla" w:hAnsi="Karla"/>
          <w:sz w:val="24"/>
          <w:szCs w:val="24"/>
        </w:rPr>
        <w:t xml:space="preserve">3002  </w:t>
      </w:r>
    </w:p>
    <w:p w:rsidR="00F60442" w:rsidRDefault="00F60442" w:rsidP="00442D65">
      <w:pPr>
        <w:spacing w:after="0" w:line="360" w:lineRule="auto"/>
        <w:rPr>
          <w:rFonts w:ascii="Karla" w:hAnsi="Karla"/>
          <w:sz w:val="24"/>
          <w:szCs w:val="24"/>
        </w:rPr>
      </w:pPr>
    </w:p>
    <w:p w:rsidR="00F60442" w:rsidRDefault="002D3215" w:rsidP="00442D65">
      <w:pPr>
        <w:spacing w:after="0" w:line="360" w:lineRule="auto"/>
        <w:rPr>
          <w:rFonts w:ascii="Karla" w:hAnsi="Karla"/>
          <w:sz w:val="24"/>
          <w:szCs w:val="24"/>
        </w:rPr>
      </w:pPr>
      <w:r>
        <w:rPr>
          <w:rFonts w:ascii="Karla" w:hAnsi="Karla"/>
          <w:sz w:val="24"/>
          <w:szCs w:val="24"/>
        </w:rPr>
        <w:t xml:space="preserve">30 </w:t>
      </w:r>
      <w:r w:rsidR="00C31734">
        <w:rPr>
          <w:rFonts w:ascii="Karla" w:hAnsi="Karla"/>
          <w:sz w:val="24"/>
          <w:szCs w:val="24"/>
        </w:rPr>
        <w:t>March 2016</w:t>
      </w:r>
    </w:p>
    <w:p w:rsidR="00442D65" w:rsidRDefault="00442D65" w:rsidP="00442D65">
      <w:pPr>
        <w:spacing w:after="0" w:line="360" w:lineRule="auto"/>
        <w:rPr>
          <w:rFonts w:ascii="Karla" w:hAnsi="Karla"/>
          <w:sz w:val="24"/>
          <w:szCs w:val="24"/>
        </w:rPr>
      </w:pPr>
    </w:p>
    <w:p w:rsidR="00442D65" w:rsidRPr="00091FC2" w:rsidRDefault="00442D65" w:rsidP="00442D65">
      <w:pPr>
        <w:spacing w:after="0" w:line="360" w:lineRule="auto"/>
        <w:jc w:val="center"/>
        <w:rPr>
          <w:rFonts w:ascii="Karla" w:hAnsi="Karla"/>
          <w:b/>
          <w:sz w:val="28"/>
          <w:szCs w:val="28"/>
        </w:rPr>
      </w:pPr>
      <w:r w:rsidRPr="00091FC2">
        <w:rPr>
          <w:rFonts w:ascii="Karla" w:hAnsi="Karla"/>
          <w:b/>
          <w:sz w:val="28"/>
          <w:szCs w:val="28"/>
        </w:rPr>
        <w:t>Inquiry into Rate Capping Policy</w:t>
      </w:r>
    </w:p>
    <w:p w:rsidR="00442D65" w:rsidRDefault="00442D65" w:rsidP="00442D65">
      <w:pPr>
        <w:spacing w:after="0" w:line="360" w:lineRule="auto"/>
        <w:rPr>
          <w:rFonts w:ascii="Karla" w:hAnsi="Karla"/>
          <w:sz w:val="24"/>
          <w:szCs w:val="24"/>
        </w:rPr>
      </w:pPr>
    </w:p>
    <w:p w:rsidR="000F0117" w:rsidRPr="00442D65" w:rsidRDefault="00DE2518" w:rsidP="00442D65">
      <w:pPr>
        <w:spacing w:after="0" w:line="360" w:lineRule="auto"/>
        <w:rPr>
          <w:rFonts w:ascii="Karla" w:hAnsi="Karla"/>
          <w:sz w:val="24"/>
          <w:szCs w:val="24"/>
        </w:rPr>
      </w:pPr>
      <w:r w:rsidRPr="00442D65">
        <w:rPr>
          <w:rFonts w:ascii="Karla" w:hAnsi="Karla"/>
          <w:sz w:val="24"/>
          <w:szCs w:val="24"/>
        </w:rPr>
        <w:t xml:space="preserve">The Youth Affairs Council of Victoria (YACVic) is the state peak body for young people aged 12-25 and the services that support them. </w:t>
      </w:r>
      <w:r w:rsidR="00C31734">
        <w:rPr>
          <w:rFonts w:ascii="Karla" w:hAnsi="Karla"/>
          <w:sz w:val="24"/>
          <w:szCs w:val="24"/>
        </w:rPr>
        <w:t>Our vision is that young Victorians have their rights upheld and are valued as active participants in their communities.</w:t>
      </w:r>
      <w:r w:rsidRPr="00442D65">
        <w:rPr>
          <w:rFonts w:ascii="Karla" w:hAnsi="Karla"/>
          <w:sz w:val="24"/>
          <w:szCs w:val="24"/>
        </w:rPr>
        <w:t xml:space="preserve"> </w:t>
      </w:r>
    </w:p>
    <w:p w:rsidR="000F0117" w:rsidRPr="00442D65" w:rsidRDefault="000F0117" w:rsidP="00442D65">
      <w:pPr>
        <w:spacing w:after="0" w:line="360" w:lineRule="auto"/>
        <w:rPr>
          <w:rFonts w:ascii="Karla" w:hAnsi="Karla"/>
          <w:sz w:val="24"/>
          <w:szCs w:val="24"/>
        </w:rPr>
      </w:pPr>
    </w:p>
    <w:p w:rsidR="00DE2518" w:rsidRDefault="00A16392" w:rsidP="00442D65">
      <w:pPr>
        <w:spacing w:after="0" w:line="360" w:lineRule="auto"/>
        <w:rPr>
          <w:rFonts w:ascii="Karla" w:hAnsi="Karla"/>
          <w:sz w:val="24"/>
          <w:szCs w:val="24"/>
        </w:rPr>
      </w:pPr>
      <w:r w:rsidRPr="00442D65">
        <w:rPr>
          <w:rFonts w:ascii="Karla" w:hAnsi="Karla"/>
          <w:sz w:val="24"/>
          <w:szCs w:val="24"/>
        </w:rPr>
        <w:t>YACVic welcome</w:t>
      </w:r>
      <w:r w:rsidR="00C31734">
        <w:rPr>
          <w:rFonts w:ascii="Karla" w:hAnsi="Karla"/>
          <w:sz w:val="24"/>
          <w:szCs w:val="24"/>
        </w:rPr>
        <w:t xml:space="preserve">d the opportunity to submit to </w:t>
      </w:r>
      <w:r w:rsidR="00DE2518" w:rsidRPr="00442D65">
        <w:rPr>
          <w:rFonts w:ascii="Karla" w:hAnsi="Karla"/>
          <w:sz w:val="24"/>
          <w:szCs w:val="24"/>
        </w:rPr>
        <w:t>the Environment and Planning Committee</w:t>
      </w:r>
      <w:r w:rsidR="00DE2518" w:rsidRPr="00442D65">
        <w:rPr>
          <w:rFonts w:ascii="Karla" w:hAnsi="Karla"/>
        </w:rPr>
        <w:t xml:space="preserve"> </w:t>
      </w:r>
      <w:r w:rsidR="00022BE5">
        <w:rPr>
          <w:rFonts w:ascii="Karla" w:hAnsi="Karla"/>
        </w:rPr>
        <w:t xml:space="preserve">in 2015  </w:t>
      </w:r>
      <w:r w:rsidRPr="00442D65">
        <w:rPr>
          <w:rFonts w:ascii="Karla" w:hAnsi="Karla"/>
          <w:sz w:val="24"/>
          <w:szCs w:val="24"/>
        </w:rPr>
        <w:t>concerning</w:t>
      </w:r>
      <w:r w:rsidRPr="00442D65">
        <w:rPr>
          <w:rFonts w:ascii="Karla" w:hAnsi="Karla"/>
        </w:rPr>
        <w:t xml:space="preserve"> </w:t>
      </w:r>
      <w:r w:rsidR="00DE2518" w:rsidRPr="00442D65">
        <w:rPr>
          <w:rFonts w:ascii="Karla" w:hAnsi="Karla"/>
          <w:sz w:val="24"/>
          <w:szCs w:val="24"/>
        </w:rPr>
        <w:t xml:space="preserve">the policy of </w:t>
      </w:r>
      <w:r w:rsidR="00022BE5">
        <w:rPr>
          <w:rFonts w:ascii="Karla" w:hAnsi="Karla"/>
          <w:sz w:val="24"/>
          <w:szCs w:val="24"/>
        </w:rPr>
        <w:t xml:space="preserve">local government </w:t>
      </w:r>
      <w:r w:rsidR="00DE2518" w:rsidRPr="00442D65">
        <w:rPr>
          <w:rFonts w:ascii="Karla" w:hAnsi="Karla"/>
          <w:sz w:val="24"/>
          <w:szCs w:val="24"/>
        </w:rPr>
        <w:t>rate capping</w:t>
      </w:r>
      <w:r w:rsidRPr="00442D65">
        <w:rPr>
          <w:rFonts w:ascii="Karla" w:hAnsi="Karla"/>
          <w:sz w:val="24"/>
          <w:szCs w:val="24"/>
        </w:rPr>
        <w:t xml:space="preserve">. </w:t>
      </w:r>
      <w:r w:rsidR="00C31734">
        <w:rPr>
          <w:rFonts w:ascii="Karla" w:hAnsi="Karla"/>
          <w:sz w:val="24"/>
          <w:szCs w:val="24"/>
        </w:rPr>
        <w:t xml:space="preserve">We take this opportunity to reiterate our concern about the </w:t>
      </w:r>
      <w:r w:rsidR="00022BE5">
        <w:rPr>
          <w:rFonts w:ascii="Karla" w:hAnsi="Karla"/>
          <w:sz w:val="24"/>
          <w:szCs w:val="24"/>
        </w:rPr>
        <w:t>implications</w:t>
      </w:r>
      <w:r w:rsidR="00C31734">
        <w:rPr>
          <w:rFonts w:ascii="Karla" w:hAnsi="Karla"/>
          <w:sz w:val="24"/>
          <w:szCs w:val="24"/>
        </w:rPr>
        <w:t xml:space="preserve"> of rate-capping </w:t>
      </w:r>
      <w:r w:rsidR="00BF1190">
        <w:rPr>
          <w:rFonts w:ascii="Karla" w:hAnsi="Karla"/>
          <w:sz w:val="24"/>
          <w:szCs w:val="24"/>
        </w:rPr>
        <w:t>for</w:t>
      </w:r>
      <w:r w:rsidR="00C31734">
        <w:rPr>
          <w:rFonts w:ascii="Karla" w:hAnsi="Karla"/>
          <w:sz w:val="24"/>
          <w:szCs w:val="24"/>
        </w:rPr>
        <w:t xml:space="preserve"> youth service delivery. </w:t>
      </w:r>
    </w:p>
    <w:p w:rsidR="00C31734" w:rsidRDefault="00C31734" w:rsidP="00442D65">
      <w:pPr>
        <w:spacing w:after="0" w:line="360" w:lineRule="auto"/>
        <w:rPr>
          <w:rFonts w:ascii="Karla" w:hAnsi="Karla"/>
          <w:sz w:val="24"/>
          <w:szCs w:val="24"/>
        </w:rPr>
      </w:pPr>
    </w:p>
    <w:p w:rsidR="00022BE5" w:rsidRDefault="00022BE5" w:rsidP="00022BE5">
      <w:pPr>
        <w:spacing w:after="0" w:line="360" w:lineRule="auto"/>
        <w:rPr>
          <w:rFonts w:ascii="Karla" w:hAnsi="Karla"/>
          <w:sz w:val="24"/>
          <w:szCs w:val="24"/>
        </w:rPr>
      </w:pPr>
      <w:r>
        <w:rPr>
          <w:rFonts w:ascii="Karla" w:hAnsi="Karla"/>
          <w:sz w:val="24"/>
          <w:szCs w:val="24"/>
        </w:rPr>
        <w:t>Local governments fund, plan, coordinate and deliver a wide range of programs and services for young people and their families.  In particular, local government is the backbone of generalist youth service delivery in Victoria</w:t>
      </w:r>
      <w:r w:rsidR="00F31A91">
        <w:rPr>
          <w:rFonts w:ascii="Karla" w:hAnsi="Karla"/>
          <w:sz w:val="24"/>
          <w:szCs w:val="24"/>
        </w:rPr>
        <w:t>.</w:t>
      </w:r>
      <w:r>
        <w:rPr>
          <w:rFonts w:ascii="Karla" w:hAnsi="Karla"/>
          <w:sz w:val="24"/>
          <w:szCs w:val="24"/>
        </w:rPr>
        <w:t xml:space="preserve"> </w:t>
      </w:r>
      <w:r w:rsidR="0082036A">
        <w:rPr>
          <w:rFonts w:ascii="Karla" w:hAnsi="Karla"/>
          <w:sz w:val="24"/>
          <w:szCs w:val="24"/>
        </w:rPr>
        <w:t>Very few</w:t>
      </w:r>
      <w:r>
        <w:rPr>
          <w:rFonts w:ascii="Karla" w:hAnsi="Karla"/>
          <w:sz w:val="24"/>
          <w:szCs w:val="24"/>
        </w:rPr>
        <w:t xml:space="preserve"> other services have </w:t>
      </w:r>
      <w:r w:rsidR="00F31A91">
        <w:rPr>
          <w:rFonts w:ascii="Karla" w:hAnsi="Karla"/>
          <w:sz w:val="24"/>
          <w:szCs w:val="24"/>
        </w:rPr>
        <w:t>local government’s</w:t>
      </w:r>
      <w:r>
        <w:rPr>
          <w:rFonts w:ascii="Karla" w:hAnsi="Karla"/>
          <w:sz w:val="24"/>
          <w:szCs w:val="24"/>
        </w:rPr>
        <w:t xml:space="preserve"> capacity to work with large numbers of young people in a welcoming environment with a focus on preventing problems (or addressing them early) and building young people’s skills, leadership and community connections. Local governments also play a vital role in bringing together the diverse services that work with young people, to </w:t>
      </w:r>
      <w:r w:rsidR="0082036A">
        <w:rPr>
          <w:rFonts w:ascii="Karla" w:hAnsi="Karla"/>
          <w:sz w:val="24"/>
          <w:szCs w:val="24"/>
        </w:rPr>
        <w:t>coordinate</w:t>
      </w:r>
      <w:r>
        <w:rPr>
          <w:rFonts w:ascii="Karla" w:hAnsi="Karla"/>
          <w:sz w:val="24"/>
          <w:szCs w:val="24"/>
        </w:rPr>
        <w:t xml:space="preserve"> service delivery to meet </w:t>
      </w:r>
      <w:r w:rsidR="007D5726">
        <w:rPr>
          <w:rFonts w:ascii="Karla" w:hAnsi="Karla"/>
          <w:sz w:val="24"/>
          <w:szCs w:val="24"/>
        </w:rPr>
        <w:t>local</w:t>
      </w:r>
      <w:r>
        <w:rPr>
          <w:rFonts w:ascii="Karla" w:hAnsi="Karla"/>
          <w:sz w:val="24"/>
          <w:szCs w:val="24"/>
        </w:rPr>
        <w:t xml:space="preserve"> needs. Many services and schools would struggle to work effectively together without the relationship-building work done by local government youth services.</w:t>
      </w:r>
    </w:p>
    <w:p w:rsidR="00F31A91" w:rsidRDefault="00F31A91" w:rsidP="00022BE5">
      <w:pPr>
        <w:spacing w:after="0" w:line="360" w:lineRule="auto"/>
        <w:rPr>
          <w:rFonts w:ascii="Karla" w:hAnsi="Karla"/>
          <w:sz w:val="24"/>
          <w:szCs w:val="24"/>
        </w:rPr>
      </w:pPr>
    </w:p>
    <w:p w:rsidR="0082036A" w:rsidRDefault="00F31A91" w:rsidP="00022BE5">
      <w:pPr>
        <w:spacing w:after="0" w:line="360" w:lineRule="auto"/>
        <w:rPr>
          <w:rFonts w:ascii="Karla" w:hAnsi="Karla"/>
          <w:sz w:val="24"/>
          <w:szCs w:val="24"/>
        </w:rPr>
      </w:pPr>
      <w:r>
        <w:rPr>
          <w:rFonts w:ascii="Karla" w:hAnsi="Karla"/>
          <w:sz w:val="24"/>
          <w:szCs w:val="24"/>
        </w:rPr>
        <w:lastRenderedPageBreak/>
        <w:t>In YACVic’s recent advocacy, we pointed out</w:t>
      </w:r>
      <w:r w:rsidR="000E6BED">
        <w:rPr>
          <w:rFonts w:ascii="Karla" w:hAnsi="Karla"/>
          <w:sz w:val="24"/>
          <w:szCs w:val="24"/>
        </w:rPr>
        <w:t xml:space="preserve"> that local government youth services </w:t>
      </w:r>
      <w:r w:rsidR="007D5726">
        <w:rPr>
          <w:rFonts w:ascii="Karla" w:hAnsi="Karla"/>
          <w:sz w:val="24"/>
          <w:szCs w:val="24"/>
        </w:rPr>
        <w:t>should</w:t>
      </w:r>
      <w:r w:rsidR="004A11CA">
        <w:rPr>
          <w:rFonts w:ascii="Karla" w:hAnsi="Karla"/>
          <w:sz w:val="24"/>
          <w:szCs w:val="24"/>
        </w:rPr>
        <w:t xml:space="preserve"> be seen as key stakeholders in</w:t>
      </w:r>
      <w:r w:rsidR="000E6BED">
        <w:rPr>
          <w:rFonts w:ascii="Karla" w:hAnsi="Karla"/>
          <w:sz w:val="24"/>
          <w:szCs w:val="24"/>
        </w:rPr>
        <w:t xml:space="preserve"> a number of policy priority areas for the Victorian Government</w:t>
      </w:r>
      <w:r w:rsidR="001308E2">
        <w:rPr>
          <w:rFonts w:ascii="Karla" w:hAnsi="Karla"/>
          <w:sz w:val="24"/>
          <w:szCs w:val="24"/>
        </w:rPr>
        <w:t xml:space="preserve">. These </w:t>
      </w:r>
      <w:r w:rsidR="004A11CA">
        <w:rPr>
          <w:rFonts w:ascii="Karla" w:hAnsi="Karla"/>
          <w:sz w:val="24"/>
          <w:szCs w:val="24"/>
        </w:rPr>
        <w:t xml:space="preserve">areas </w:t>
      </w:r>
      <w:r w:rsidR="001308E2">
        <w:rPr>
          <w:rFonts w:ascii="Karla" w:hAnsi="Karla"/>
          <w:sz w:val="24"/>
          <w:szCs w:val="24"/>
        </w:rPr>
        <w:t>include</w:t>
      </w:r>
      <w:r w:rsidR="000E6BED">
        <w:rPr>
          <w:rFonts w:ascii="Karla" w:hAnsi="Karla"/>
          <w:sz w:val="24"/>
          <w:szCs w:val="24"/>
        </w:rPr>
        <w:t xml:space="preserve"> education, gender equality, mental health and community planning. </w:t>
      </w:r>
      <w:r w:rsidR="001308E2">
        <w:rPr>
          <w:rFonts w:ascii="Karla" w:hAnsi="Karla"/>
          <w:sz w:val="24"/>
          <w:szCs w:val="24"/>
        </w:rPr>
        <w:t xml:space="preserve">Some local government youth services, for </w:t>
      </w:r>
      <w:r w:rsidR="00545D14">
        <w:rPr>
          <w:rFonts w:ascii="Karla" w:hAnsi="Karla"/>
          <w:sz w:val="24"/>
          <w:szCs w:val="24"/>
        </w:rPr>
        <w:t>example</w:t>
      </w:r>
      <w:r w:rsidR="001308E2">
        <w:rPr>
          <w:rFonts w:ascii="Karla" w:hAnsi="Karla"/>
          <w:sz w:val="24"/>
          <w:szCs w:val="24"/>
        </w:rPr>
        <w:t xml:space="preserve">, have worked </w:t>
      </w:r>
      <w:r w:rsidR="00B337E6">
        <w:rPr>
          <w:rFonts w:ascii="Karla" w:hAnsi="Karla"/>
          <w:sz w:val="24"/>
          <w:szCs w:val="24"/>
        </w:rPr>
        <w:t xml:space="preserve">with local schools and community services to deliver programs on topics such as respectful relationships, violence prevention, mental health, suicide prevention and body image. (Schools recognise these topics are </w:t>
      </w:r>
      <w:r w:rsidR="002D3215">
        <w:rPr>
          <w:rFonts w:ascii="Karla" w:hAnsi="Karla"/>
          <w:sz w:val="24"/>
          <w:szCs w:val="24"/>
        </w:rPr>
        <w:t>crucial</w:t>
      </w:r>
      <w:r w:rsidR="00B337E6">
        <w:rPr>
          <w:rFonts w:ascii="Karla" w:hAnsi="Karla"/>
          <w:sz w:val="24"/>
          <w:szCs w:val="24"/>
        </w:rPr>
        <w:t xml:space="preserve"> but rarely have capacity to lead such work themselves.) Other local governments have brokered arrangements </w:t>
      </w:r>
      <w:r w:rsidR="001308E2">
        <w:rPr>
          <w:rFonts w:ascii="Karla" w:hAnsi="Karla"/>
          <w:sz w:val="24"/>
          <w:szCs w:val="24"/>
        </w:rPr>
        <w:t xml:space="preserve">to place bulk-billing psychologists in local secondary schools so that students with mental health concerns can access help onsite for free. </w:t>
      </w:r>
      <w:r w:rsidR="004A11CA">
        <w:rPr>
          <w:rFonts w:ascii="Karla" w:hAnsi="Karla"/>
          <w:sz w:val="24"/>
          <w:szCs w:val="24"/>
        </w:rPr>
        <w:t xml:space="preserve">Local </w:t>
      </w:r>
      <w:r w:rsidR="001308E2">
        <w:rPr>
          <w:rFonts w:ascii="Karla" w:hAnsi="Karla"/>
          <w:sz w:val="24"/>
          <w:szCs w:val="24"/>
        </w:rPr>
        <w:t xml:space="preserve">government youth services have </w:t>
      </w:r>
      <w:r w:rsidR="004A11CA">
        <w:rPr>
          <w:rFonts w:ascii="Karla" w:hAnsi="Karla"/>
          <w:sz w:val="24"/>
          <w:szCs w:val="24"/>
        </w:rPr>
        <w:t xml:space="preserve">also </w:t>
      </w:r>
      <w:r w:rsidR="001308E2">
        <w:rPr>
          <w:rFonts w:ascii="Karla" w:hAnsi="Karla"/>
          <w:sz w:val="24"/>
          <w:szCs w:val="24"/>
        </w:rPr>
        <w:t xml:space="preserve">led successful campaigns to secure necessary services like headspace centres in their locality. This is in addition to the programs </w:t>
      </w:r>
      <w:r w:rsidR="0082036A">
        <w:rPr>
          <w:rFonts w:ascii="Karla" w:hAnsi="Karla"/>
          <w:sz w:val="24"/>
          <w:szCs w:val="24"/>
        </w:rPr>
        <w:t>local governments</w:t>
      </w:r>
      <w:r w:rsidR="001308E2">
        <w:rPr>
          <w:rFonts w:ascii="Karla" w:hAnsi="Karla"/>
          <w:sz w:val="24"/>
          <w:szCs w:val="24"/>
        </w:rPr>
        <w:t xml:space="preserve"> offer </w:t>
      </w:r>
      <w:r w:rsidR="004A11CA">
        <w:rPr>
          <w:rFonts w:ascii="Karla" w:hAnsi="Karla"/>
          <w:sz w:val="24"/>
          <w:szCs w:val="24"/>
        </w:rPr>
        <w:t xml:space="preserve">directly </w:t>
      </w:r>
      <w:r w:rsidR="001308E2">
        <w:rPr>
          <w:rFonts w:ascii="Karla" w:hAnsi="Karla"/>
          <w:sz w:val="24"/>
          <w:szCs w:val="24"/>
        </w:rPr>
        <w:t>to young people, which</w:t>
      </w:r>
      <w:r w:rsidR="004A11CA">
        <w:rPr>
          <w:rFonts w:ascii="Karla" w:hAnsi="Karla"/>
          <w:sz w:val="24"/>
          <w:szCs w:val="24"/>
        </w:rPr>
        <w:t xml:space="preserve"> </w:t>
      </w:r>
      <w:r w:rsidR="001308E2">
        <w:rPr>
          <w:rFonts w:ascii="Karla" w:hAnsi="Karla"/>
          <w:sz w:val="24"/>
          <w:szCs w:val="24"/>
        </w:rPr>
        <w:t xml:space="preserve">range from </w:t>
      </w:r>
      <w:r w:rsidR="004A11CA">
        <w:rPr>
          <w:rFonts w:ascii="Karla" w:hAnsi="Karla"/>
          <w:sz w:val="24"/>
          <w:szCs w:val="24"/>
        </w:rPr>
        <w:t xml:space="preserve">mentoring to </w:t>
      </w:r>
      <w:r w:rsidR="001308E2">
        <w:rPr>
          <w:rFonts w:ascii="Karla" w:hAnsi="Karla"/>
          <w:sz w:val="24"/>
          <w:szCs w:val="24"/>
        </w:rPr>
        <w:t>young parents’ support groups</w:t>
      </w:r>
      <w:r w:rsidR="004A11CA">
        <w:rPr>
          <w:rFonts w:ascii="Karla" w:hAnsi="Karla"/>
          <w:sz w:val="24"/>
          <w:szCs w:val="24"/>
        </w:rPr>
        <w:t>.</w:t>
      </w:r>
      <w:r w:rsidR="0082036A">
        <w:rPr>
          <w:rStyle w:val="FootnoteReference"/>
          <w:rFonts w:ascii="Karla" w:hAnsi="Karla"/>
          <w:sz w:val="24"/>
          <w:szCs w:val="24"/>
        </w:rPr>
        <w:footnoteReference w:id="1"/>
      </w:r>
      <w:r w:rsidR="0082036A">
        <w:rPr>
          <w:rFonts w:ascii="Karla" w:hAnsi="Karla"/>
          <w:sz w:val="24"/>
          <w:szCs w:val="24"/>
        </w:rPr>
        <w:t xml:space="preserve"> </w:t>
      </w:r>
      <w:r w:rsidR="001308E2">
        <w:rPr>
          <w:rFonts w:ascii="Karla" w:hAnsi="Karla"/>
          <w:sz w:val="24"/>
          <w:szCs w:val="24"/>
        </w:rPr>
        <w:t xml:space="preserve"> </w:t>
      </w:r>
    </w:p>
    <w:p w:rsidR="0082036A" w:rsidRDefault="0082036A" w:rsidP="00022BE5">
      <w:pPr>
        <w:spacing w:after="0" w:line="360" w:lineRule="auto"/>
        <w:rPr>
          <w:rFonts w:ascii="Karla" w:hAnsi="Karla"/>
          <w:sz w:val="24"/>
          <w:szCs w:val="24"/>
        </w:rPr>
      </w:pPr>
    </w:p>
    <w:p w:rsidR="001308E2" w:rsidRDefault="004A11CA" w:rsidP="00022BE5">
      <w:pPr>
        <w:spacing w:after="0" w:line="360" w:lineRule="auto"/>
        <w:rPr>
          <w:rFonts w:ascii="Karla" w:hAnsi="Karla"/>
          <w:sz w:val="24"/>
          <w:szCs w:val="24"/>
        </w:rPr>
      </w:pPr>
      <w:r>
        <w:rPr>
          <w:rFonts w:ascii="Karla" w:hAnsi="Karla"/>
          <w:sz w:val="24"/>
          <w:szCs w:val="24"/>
        </w:rPr>
        <w:t xml:space="preserve">Local government youth services are also recognised as leaders in youth consultation, especially when governments </w:t>
      </w:r>
      <w:r w:rsidR="0082036A">
        <w:rPr>
          <w:rFonts w:ascii="Karla" w:hAnsi="Karla"/>
          <w:sz w:val="24"/>
          <w:szCs w:val="24"/>
        </w:rPr>
        <w:t>wish</w:t>
      </w:r>
      <w:r>
        <w:rPr>
          <w:rFonts w:ascii="Karla" w:hAnsi="Karla"/>
          <w:sz w:val="24"/>
          <w:szCs w:val="24"/>
        </w:rPr>
        <w:t xml:space="preserve"> to connect with large numbers of young people to find solutions to local problems.  </w:t>
      </w:r>
      <w:r w:rsidR="001308E2">
        <w:rPr>
          <w:rFonts w:ascii="Karla" w:hAnsi="Karla"/>
          <w:sz w:val="24"/>
          <w:szCs w:val="24"/>
        </w:rPr>
        <w:t xml:space="preserve"> </w:t>
      </w:r>
    </w:p>
    <w:p w:rsidR="001308E2" w:rsidRDefault="001308E2" w:rsidP="00022BE5">
      <w:pPr>
        <w:spacing w:after="0" w:line="360" w:lineRule="auto"/>
        <w:rPr>
          <w:rFonts w:ascii="Karla" w:hAnsi="Karla"/>
          <w:sz w:val="24"/>
          <w:szCs w:val="24"/>
        </w:rPr>
      </w:pPr>
    </w:p>
    <w:p w:rsidR="0082036A" w:rsidRDefault="00022BE5" w:rsidP="00442D65">
      <w:pPr>
        <w:spacing w:after="0" w:line="360" w:lineRule="auto"/>
        <w:rPr>
          <w:rFonts w:ascii="Karla" w:hAnsi="Karla"/>
          <w:sz w:val="24"/>
          <w:szCs w:val="24"/>
        </w:rPr>
      </w:pPr>
      <w:r>
        <w:rPr>
          <w:rFonts w:ascii="Karla" w:hAnsi="Karla"/>
          <w:sz w:val="24"/>
          <w:szCs w:val="24"/>
        </w:rPr>
        <w:t>The Environment and Planning C</w:t>
      </w:r>
      <w:r w:rsidR="00C31734">
        <w:rPr>
          <w:rFonts w:ascii="Karla" w:hAnsi="Karla"/>
          <w:sz w:val="24"/>
          <w:szCs w:val="24"/>
        </w:rPr>
        <w:t xml:space="preserve">ommittee’s first report into rate-capping policy </w:t>
      </w:r>
      <w:r>
        <w:rPr>
          <w:rFonts w:ascii="Karla" w:hAnsi="Karla"/>
          <w:sz w:val="24"/>
          <w:szCs w:val="24"/>
        </w:rPr>
        <w:t>did not discuss youth service delivery, but it did make several observations which are pertinent to that sector. For example, t</w:t>
      </w:r>
      <w:r w:rsidR="0061275D">
        <w:rPr>
          <w:rFonts w:ascii="Karla" w:hAnsi="Karla"/>
          <w:sz w:val="24"/>
          <w:szCs w:val="24"/>
        </w:rPr>
        <w:t>he report noted</w:t>
      </w:r>
      <w:r w:rsidR="00C31734">
        <w:rPr>
          <w:rFonts w:ascii="Karla" w:hAnsi="Karla"/>
          <w:sz w:val="24"/>
          <w:szCs w:val="24"/>
        </w:rPr>
        <w:t xml:space="preserve"> that many local governments </w:t>
      </w:r>
      <w:r w:rsidR="00B337E6">
        <w:rPr>
          <w:rFonts w:ascii="Karla" w:hAnsi="Karla"/>
          <w:sz w:val="24"/>
          <w:szCs w:val="24"/>
        </w:rPr>
        <w:t>relied</w:t>
      </w:r>
      <w:r w:rsidR="00443768">
        <w:rPr>
          <w:rFonts w:ascii="Karla" w:hAnsi="Karla"/>
          <w:sz w:val="24"/>
          <w:szCs w:val="24"/>
        </w:rPr>
        <w:t xml:space="preserve"> on grants and Victorian Government contributions to subsidise </w:t>
      </w:r>
      <w:r w:rsidR="00BF1190">
        <w:rPr>
          <w:rFonts w:ascii="Karla" w:hAnsi="Karla"/>
          <w:sz w:val="24"/>
          <w:szCs w:val="24"/>
        </w:rPr>
        <w:t>their</w:t>
      </w:r>
      <w:r w:rsidR="00443768">
        <w:rPr>
          <w:rFonts w:ascii="Karla" w:hAnsi="Karla"/>
          <w:sz w:val="24"/>
          <w:szCs w:val="24"/>
        </w:rPr>
        <w:t xml:space="preserve"> service delivery, and that these external </w:t>
      </w:r>
      <w:r w:rsidR="00B337E6">
        <w:rPr>
          <w:rFonts w:ascii="Karla" w:hAnsi="Karla"/>
          <w:sz w:val="24"/>
          <w:szCs w:val="24"/>
        </w:rPr>
        <w:t xml:space="preserve">funding </w:t>
      </w:r>
      <w:r w:rsidR="00443768">
        <w:rPr>
          <w:rFonts w:ascii="Karla" w:hAnsi="Karla"/>
          <w:sz w:val="24"/>
          <w:szCs w:val="24"/>
        </w:rPr>
        <w:t>sources had not kept pace with community demand.</w:t>
      </w:r>
      <w:r w:rsidR="00BC14AD">
        <w:rPr>
          <w:rStyle w:val="FootnoteReference"/>
          <w:rFonts w:ascii="Karla" w:hAnsi="Karla"/>
          <w:sz w:val="24"/>
          <w:szCs w:val="24"/>
        </w:rPr>
        <w:footnoteReference w:id="2"/>
      </w:r>
      <w:r w:rsidR="00443768">
        <w:rPr>
          <w:rFonts w:ascii="Karla" w:hAnsi="Karla"/>
          <w:sz w:val="24"/>
          <w:szCs w:val="24"/>
        </w:rPr>
        <w:t xml:space="preserve"> </w:t>
      </w:r>
    </w:p>
    <w:p w:rsidR="0082036A" w:rsidRDefault="0082036A" w:rsidP="00442D65">
      <w:pPr>
        <w:spacing w:after="0" w:line="360" w:lineRule="auto"/>
        <w:rPr>
          <w:rFonts w:ascii="Karla" w:hAnsi="Karla"/>
          <w:sz w:val="24"/>
          <w:szCs w:val="24"/>
        </w:rPr>
      </w:pPr>
    </w:p>
    <w:p w:rsidR="00022BE5" w:rsidRDefault="00022BE5" w:rsidP="00442D65">
      <w:pPr>
        <w:spacing w:after="0" w:line="360" w:lineRule="auto"/>
        <w:rPr>
          <w:rFonts w:ascii="Karla" w:hAnsi="Karla"/>
          <w:sz w:val="24"/>
          <w:szCs w:val="24"/>
        </w:rPr>
      </w:pPr>
      <w:r>
        <w:rPr>
          <w:rFonts w:ascii="Karla" w:hAnsi="Karla"/>
          <w:sz w:val="24"/>
          <w:szCs w:val="24"/>
        </w:rPr>
        <w:lastRenderedPageBreak/>
        <w:t>We would add that it is common for local government youth services teams to rely heavily on grants rounds such as Engage</w:t>
      </w:r>
      <w:r w:rsidR="0048226B">
        <w:rPr>
          <w:rFonts w:ascii="Karla" w:hAnsi="Karla"/>
          <w:sz w:val="24"/>
          <w:szCs w:val="24"/>
        </w:rPr>
        <w:t>!</w:t>
      </w:r>
      <w:r>
        <w:rPr>
          <w:rFonts w:ascii="Karla" w:hAnsi="Karla"/>
          <w:sz w:val="24"/>
          <w:szCs w:val="24"/>
        </w:rPr>
        <w:t xml:space="preserve"> and FReeZA, especially in rural areas where core funding for youth services </w:t>
      </w:r>
      <w:r w:rsidR="0048226B">
        <w:rPr>
          <w:rFonts w:ascii="Karla" w:hAnsi="Karla"/>
          <w:sz w:val="24"/>
          <w:szCs w:val="24"/>
        </w:rPr>
        <w:t>can be</w:t>
      </w:r>
      <w:r>
        <w:rPr>
          <w:rFonts w:ascii="Karla" w:hAnsi="Karla"/>
          <w:sz w:val="24"/>
          <w:szCs w:val="24"/>
        </w:rPr>
        <w:t xml:space="preserve"> scarce</w:t>
      </w:r>
      <w:r w:rsidR="00BC14AD">
        <w:rPr>
          <w:rFonts w:ascii="Karla" w:hAnsi="Karla"/>
          <w:sz w:val="24"/>
          <w:szCs w:val="24"/>
        </w:rPr>
        <w:t xml:space="preserve"> or non-existent</w:t>
      </w:r>
      <w:r>
        <w:rPr>
          <w:rFonts w:ascii="Karla" w:hAnsi="Karla"/>
          <w:sz w:val="24"/>
          <w:szCs w:val="24"/>
        </w:rPr>
        <w:t>. There is strong competition for grants, and demand cannot always be met.</w:t>
      </w:r>
      <w:r w:rsidR="0048226B">
        <w:rPr>
          <w:rFonts w:ascii="Karla" w:hAnsi="Karla"/>
          <w:sz w:val="24"/>
          <w:szCs w:val="24"/>
        </w:rPr>
        <w:t xml:space="preserve"> For example, the allocation of Engage! funding for 2015-17 (under the previous government) left a number of rural communities disappointed, and</w:t>
      </w:r>
      <w:r w:rsidR="00B337E6">
        <w:rPr>
          <w:rFonts w:ascii="Karla" w:hAnsi="Karla"/>
          <w:sz w:val="24"/>
          <w:szCs w:val="24"/>
        </w:rPr>
        <w:t xml:space="preserve"> the Hon. Jenny </w:t>
      </w:r>
      <w:r w:rsidR="0048226B">
        <w:rPr>
          <w:rFonts w:ascii="Karla" w:hAnsi="Karla"/>
          <w:sz w:val="24"/>
          <w:szCs w:val="24"/>
        </w:rPr>
        <w:t>Mikakos</w:t>
      </w:r>
      <w:r w:rsidR="00B337E6">
        <w:rPr>
          <w:rFonts w:ascii="Karla" w:hAnsi="Karla"/>
          <w:sz w:val="24"/>
          <w:szCs w:val="24"/>
        </w:rPr>
        <w:t>, Minister for Youth Affairs,</w:t>
      </w:r>
      <w:r w:rsidR="0048226B">
        <w:rPr>
          <w:rFonts w:ascii="Karla" w:hAnsi="Karla"/>
          <w:sz w:val="24"/>
          <w:szCs w:val="24"/>
        </w:rPr>
        <w:t xml:space="preserve"> noted in parliament that regional areas had </w:t>
      </w:r>
      <w:r w:rsidR="002D3215">
        <w:rPr>
          <w:rFonts w:ascii="Karla" w:hAnsi="Karla"/>
          <w:sz w:val="24"/>
          <w:szCs w:val="24"/>
        </w:rPr>
        <w:t>fared</w:t>
      </w:r>
      <w:r w:rsidR="0048226B">
        <w:rPr>
          <w:rFonts w:ascii="Karla" w:hAnsi="Karla"/>
          <w:sz w:val="24"/>
          <w:szCs w:val="24"/>
        </w:rPr>
        <w:t xml:space="preserve"> poorly in that grant round.</w:t>
      </w:r>
      <w:r w:rsidR="0048226B">
        <w:rPr>
          <w:rStyle w:val="FootnoteReference"/>
          <w:rFonts w:ascii="Karla" w:hAnsi="Karla"/>
          <w:sz w:val="24"/>
          <w:szCs w:val="24"/>
        </w:rPr>
        <w:footnoteReference w:id="3"/>
      </w:r>
      <w:r w:rsidR="0048226B">
        <w:rPr>
          <w:rFonts w:ascii="Karla" w:hAnsi="Karla"/>
          <w:sz w:val="24"/>
          <w:szCs w:val="24"/>
        </w:rPr>
        <w:t xml:space="preserve"> </w:t>
      </w:r>
    </w:p>
    <w:p w:rsidR="00022BE5" w:rsidRDefault="00022BE5" w:rsidP="00442D65">
      <w:pPr>
        <w:spacing w:after="0" w:line="360" w:lineRule="auto"/>
        <w:rPr>
          <w:rFonts w:ascii="Karla" w:hAnsi="Karla"/>
          <w:sz w:val="24"/>
          <w:szCs w:val="24"/>
        </w:rPr>
      </w:pPr>
    </w:p>
    <w:p w:rsidR="00443768" w:rsidRDefault="00B2170D" w:rsidP="00442D65">
      <w:pPr>
        <w:spacing w:after="0" w:line="360" w:lineRule="auto"/>
        <w:rPr>
          <w:rFonts w:ascii="Karla" w:hAnsi="Karla"/>
          <w:sz w:val="24"/>
          <w:szCs w:val="24"/>
        </w:rPr>
      </w:pPr>
      <w:r>
        <w:rPr>
          <w:rFonts w:ascii="Karla" w:hAnsi="Karla"/>
          <w:sz w:val="24"/>
          <w:szCs w:val="24"/>
        </w:rPr>
        <w:t xml:space="preserve">Moreover, </w:t>
      </w:r>
      <w:r w:rsidR="00B337E6">
        <w:rPr>
          <w:rFonts w:ascii="Karla" w:hAnsi="Karla"/>
          <w:sz w:val="24"/>
          <w:szCs w:val="24"/>
        </w:rPr>
        <w:t xml:space="preserve">many local governments reported to </w:t>
      </w:r>
      <w:r>
        <w:rPr>
          <w:rFonts w:ascii="Karla" w:hAnsi="Karla"/>
          <w:sz w:val="24"/>
          <w:szCs w:val="24"/>
        </w:rPr>
        <w:t xml:space="preserve">the Environment and Planning Committee </w:t>
      </w:r>
      <w:r w:rsidR="00443768">
        <w:rPr>
          <w:rFonts w:ascii="Karla" w:hAnsi="Karla"/>
          <w:sz w:val="24"/>
          <w:szCs w:val="24"/>
        </w:rPr>
        <w:t xml:space="preserve">that rate-capping </w:t>
      </w:r>
      <w:r w:rsidR="00B337E6">
        <w:rPr>
          <w:rFonts w:ascii="Karla" w:hAnsi="Karla"/>
          <w:sz w:val="24"/>
          <w:szCs w:val="24"/>
        </w:rPr>
        <w:t>could</w:t>
      </w:r>
      <w:r w:rsidR="00443768">
        <w:rPr>
          <w:rFonts w:ascii="Karla" w:hAnsi="Karla"/>
          <w:sz w:val="24"/>
          <w:szCs w:val="24"/>
        </w:rPr>
        <w:t xml:space="preserve"> threaten the</w:t>
      </w:r>
      <w:r>
        <w:rPr>
          <w:rFonts w:ascii="Karla" w:hAnsi="Karla"/>
          <w:sz w:val="24"/>
          <w:szCs w:val="24"/>
        </w:rPr>
        <w:t>ir</w:t>
      </w:r>
      <w:r w:rsidR="00443768">
        <w:rPr>
          <w:rFonts w:ascii="Karla" w:hAnsi="Karla"/>
          <w:sz w:val="24"/>
          <w:szCs w:val="24"/>
        </w:rPr>
        <w:t xml:space="preserve"> delivery of ‘non-core’ services</w:t>
      </w:r>
      <w:r>
        <w:rPr>
          <w:rFonts w:ascii="Karla" w:hAnsi="Karla"/>
          <w:sz w:val="24"/>
          <w:szCs w:val="24"/>
        </w:rPr>
        <w:t>. These are</w:t>
      </w:r>
      <w:r w:rsidR="00443768">
        <w:rPr>
          <w:rFonts w:ascii="Karla" w:hAnsi="Karla"/>
          <w:sz w:val="24"/>
          <w:szCs w:val="24"/>
        </w:rPr>
        <w:t xml:space="preserve"> services which are not required under statutory, regulatory or legal requirements, which </w:t>
      </w:r>
      <w:r w:rsidR="0061275D">
        <w:rPr>
          <w:rFonts w:ascii="Karla" w:hAnsi="Karla"/>
          <w:sz w:val="24"/>
          <w:szCs w:val="24"/>
        </w:rPr>
        <w:t>local governments deliver</w:t>
      </w:r>
      <w:r w:rsidR="00443768">
        <w:rPr>
          <w:rFonts w:ascii="Karla" w:hAnsi="Karla"/>
          <w:sz w:val="24"/>
          <w:szCs w:val="24"/>
        </w:rPr>
        <w:t xml:space="preserve"> as funding allows.</w:t>
      </w:r>
      <w:r w:rsidR="0061275D">
        <w:rPr>
          <w:rFonts w:ascii="Karla" w:hAnsi="Karla"/>
          <w:sz w:val="24"/>
          <w:szCs w:val="24"/>
        </w:rPr>
        <w:t xml:space="preserve"> Rural local governments raised particular concerns, given their smaller rate base and</w:t>
      </w:r>
      <w:r>
        <w:rPr>
          <w:rFonts w:ascii="Karla" w:hAnsi="Karla"/>
          <w:sz w:val="24"/>
          <w:szCs w:val="24"/>
        </w:rPr>
        <w:t xml:space="preserve"> the particular c</w:t>
      </w:r>
      <w:r w:rsidR="0061275D">
        <w:rPr>
          <w:rFonts w:ascii="Karla" w:hAnsi="Karla"/>
          <w:sz w:val="24"/>
          <w:szCs w:val="24"/>
        </w:rPr>
        <w:t xml:space="preserve">osts of </w:t>
      </w:r>
      <w:r>
        <w:rPr>
          <w:rFonts w:ascii="Karla" w:hAnsi="Karla"/>
          <w:sz w:val="24"/>
          <w:szCs w:val="24"/>
        </w:rPr>
        <w:t xml:space="preserve">rural </w:t>
      </w:r>
      <w:r w:rsidR="0061275D">
        <w:rPr>
          <w:rFonts w:ascii="Karla" w:hAnsi="Karla"/>
          <w:sz w:val="24"/>
          <w:szCs w:val="24"/>
        </w:rPr>
        <w:t xml:space="preserve">service delivery, </w:t>
      </w:r>
      <w:r>
        <w:rPr>
          <w:rFonts w:ascii="Karla" w:hAnsi="Karla"/>
          <w:sz w:val="24"/>
          <w:szCs w:val="24"/>
        </w:rPr>
        <w:t>where services are expected to work with scattered populations across large areas with relatively few other organisations to assist them.</w:t>
      </w:r>
      <w:r w:rsidR="0061275D">
        <w:rPr>
          <w:rStyle w:val="FootnoteReference"/>
          <w:rFonts w:ascii="Karla" w:hAnsi="Karla"/>
          <w:sz w:val="24"/>
          <w:szCs w:val="24"/>
        </w:rPr>
        <w:footnoteReference w:id="4"/>
      </w:r>
    </w:p>
    <w:p w:rsidR="00B2170D" w:rsidRDefault="00B2170D" w:rsidP="00442D65">
      <w:pPr>
        <w:spacing w:after="0" w:line="360" w:lineRule="auto"/>
        <w:rPr>
          <w:rFonts w:ascii="Karla" w:hAnsi="Karla"/>
          <w:sz w:val="24"/>
          <w:szCs w:val="24"/>
        </w:rPr>
      </w:pPr>
    </w:p>
    <w:p w:rsidR="001F55A1" w:rsidRDefault="00B2170D" w:rsidP="00442D65">
      <w:pPr>
        <w:spacing w:after="0" w:line="360" w:lineRule="auto"/>
        <w:rPr>
          <w:rFonts w:ascii="Karla" w:hAnsi="Karla"/>
          <w:sz w:val="24"/>
          <w:szCs w:val="24"/>
        </w:rPr>
      </w:pPr>
      <w:r>
        <w:rPr>
          <w:rFonts w:ascii="Karla" w:hAnsi="Karla"/>
          <w:sz w:val="24"/>
          <w:szCs w:val="24"/>
        </w:rPr>
        <w:t>D</w:t>
      </w:r>
      <w:r w:rsidR="006D7C50">
        <w:rPr>
          <w:rFonts w:ascii="Karla" w:hAnsi="Karla"/>
          <w:sz w:val="24"/>
          <w:szCs w:val="24"/>
        </w:rPr>
        <w:t xml:space="preserve">espite the unique nature of local government youth service delivery and its great importance to the community, it might well be deemed a ‘non-core’ </w:t>
      </w:r>
      <w:r w:rsidR="001F55A1">
        <w:rPr>
          <w:rFonts w:ascii="Karla" w:hAnsi="Karla"/>
          <w:sz w:val="24"/>
          <w:szCs w:val="24"/>
        </w:rPr>
        <w:t>service</w:t>
      </w:r>
      <w:r w:rsidR="006D7C50">
        <w:rPr>
          <w:rFonts w:ascii="Karla" w:hAnsi="Karla"/>
          <w:sz w:val="24"/>
          <w:szCs w:val="24"/>
        </w:rPr>
        <w:t xml:space="preserve"> a time of limited resourcing. </w:t>
      </w:r>
      <w:r w:rsidR="006D7C50" w:rsidRPr="006D7C50">
        <w:rPr>
          <w:rFonts w:ascii="Karla" w:hAnsi="Karla"/>
          <w:sz w:val="24"/>
          <w:szCs w:val="24"/>
        </w:rPr>
        <w:t xml:space="preserve">At present, certain services provided at an LGA level are backed by MOUs with the Victorian Government (in the case of Maternal and Child Health), or by detailed recognition and support from MAV and the Department of Education and Training concerning local and state governments’ roles in the planning, funding and delivery of services (in the case of Early Childhood Education and Care). </w:t>
      </w:r>
      <w:r w:rsidR="001F55A1">
        <w:rPr>
          <w:rFonts w:ascii="Karla" w:hAnsi="Karla"/>
          <w:sz w:val="24"/>
          <w:szCs w:val="24"/>
        </w:rPr>
        <w:t>In contrast, f</w:t>
      </w:r>
      <w:r w:rsidR="006D7C50" w:rsidRPr="006D7C50">
        <w:rPr>
          <w:rFonts w:ascii="Karla" w:hAnsi="Karla"/>
          <w:sz w:val="24"/>
          <w:szCs w:val="24"/>
        </w:rPr>
        <w:t>ormal support for youth service delivery is relatively thin.</w:t>
      </w:r>
    </w:p>
    <w:p w:rsidR="001F55A1" w:rsidRDefault="001F55A1" w:rsidP="00442D65">
      <w:pPr>
        <w:spacing w:after="0" w:line="360" w:lineRule="auto"/>
        <w:rPr>
          <w:rFonts w:ascii="Karla" w:hAnsi="Karla"/>
          <w:sz w:val="24"/>
          <w:szCs w:val="24"/>
        </w:rPr>
      </w:pPr>
    </w:p>
    <w:p w:rsidR="00BC14AD" w:rsidRDefault="00BC14AD" w:rsidP="00442D65">
      <w:pPr>
        <w:spacing w:after="0" w:line="360" w:lineRule="auto"/>
        <w:rPr>
          <w:rFonts w:ascii="Karla" w:hAnsi="Karla"/>
          <w:sz w:val="24"/>
          <w:szCs w:val="24"/>
        </w:rPr>
      </w:pPr>
      <w:r>
        <w:rPr>
          <w:rFonts w:ascii="Karla" w:hAnsi="Karla"/>
          <w:sz w:val="24"/>
          <w:szCs w:val="24"/>
        </w:rPr>
        <w:t xml:space="preserve">Many of YACVic’s members, particularly those based in rural communities, are continuing to reflect to us their </w:t>
      </w:r>
      <w:r w:rsidR="00B337E6">
        <w:rPr>
          <w:rFonts w:ascii="Karla" w:hAnsi="Karla"/>
          <w:sz w:val="24"/>
          <w:szCs w:val="24"/>
        </w:rPr>
        <w:t>fear</w:t>
      </w:r>
      <w:r>
        <w:rPr>
          <w:rFonts w:ascii="Karla" w:hAnsi="Karla"/>
          <w:sz w:val="24"/>
          <w:szCs w:val="24"/>
        </w:rPr>
        <w:t xml:space="preserve"> that rate-capping may result in </w:t>
      </w:r>
      <w:r w:rsidR="00F31A91">
        <w:rPr>
          <w:rFonts w:ascii="Karla" w:hAnsi="Karla"/>
          <w:sz w:val="24"/>
          <w:szCs w:val="24"/>
        </w:rPr>
        <w:t xml:space="preserve">significant </w:t>
      </w:r>
      <w:r w:rsidR="00F31A91">
        <w:rPr>
          <w:rFonts w:ascii="Karla" w:hAnsi="Karla"/>
          <w:sz w:val="24"/>
          <w:szCs w:val="24"/>
        </w:rPr>
        <w:lastRenderedPageBreak/>
        <w:t xml:space="preserve">reductions in </w:t>
      </w:r>
      <w:r>
        <w:rPr>
          <w:rFonts w:ascii="Karla" w:hAnsi="Karla"/>
          <w:sz w:val="24"/>
          <w:szCs w:val="24"/>
        </w:rPr>
        <w:t>support for young people. Youth services are keen to see positive measures put into place to avert this risk.</w:t>
      </w:r>
      <w:r w:rsidR="00F31A91">
        <w:rPr>
          <w:rStyle w:val="FootnoteReference"/>
          <w:rFonts w:ascii="Karla" w:hAnsi="Karla"/>
          <w:sz w:val="24"/>
          <w:szCs w:val="24"/>
        </w:rPr>
        <w:footnoteReference w:id="5"/>
      </w:r>
      <w:r>
        <w:rPr>
          <w:rFonts w:ascii="Karla" w:hAnsi="Karla"/>
          <w:sz w:val="24"/>
          <w:szCs w:val="24"/>
        </w:rPr>
        <w:t xml:space="preserve"> </w:t>
      </w:r>
    </w:p>
    <w:p w:rsidR="00F31A91" w:rsidRDefault="00F31A91" w:rsidP="00442D65">
      <w:pPr>
        <w:spacing w:after="0" w:line="360" w:lineRule="auto"/>
        <w:rPr>
          <w:rFonts w:ascii="Karla" w:hAnsi="Karla"/>
          <w:sz w:val="24"/>
          <w:szCs w:val="24"/>
        </w:rPr>
      </w:pPr>
    </w:p>
    <w:p w:rsidR="007F67A1" w:rsidRDefault="007F67A1" w:rsidP="00442D65">
      <w:pPr>
        <w:spacing w:after="0" w:line="360" w:lineRule="auto"/>
        <w:rPr>
          <w:rFonts w:ascii="Karla" w:hAnsi="Karla"/>
          <w:sz w:val="24"/>
          <w:szCs w:val="24"/>
        </w:rPr>
      </w:pPr>
      <w:r>
        <w:rPr>
          <w:rFonts w:ascii="Karla" w:hAnsi="Karla"/>
          <w:sz w:val="24"/>
          <w:szCs w:val="24"/>
        </w:rPr>
        <w:t>YACVic recommends that the Victorian Government:</w:t>
      </w:r>
    </w:p>
    <w:p w:rsidR="007F67A1" w:rsidRPr="007F67A1" w:rsidRDefault="007F67A1" w:rsidP="00442D65">
      <w:pPr>
        <w:spacing w:after="0" w:line="360" w:lineRule="auto"/>
        <w:rPr>
          <w:rFonts w:ascii="Karla" w:hAnsi="Karla"/>
          <w:sz w:val="16"/>
          <w:szCs w:val="24"/>
        </w:rPr>
      </w:pPr>
    </w:p>
    <w:p w:rsidR="007F67A1" w:rsidRPr="007F67A1" w:rsidRDefault="007F67A1" w:rsidP="007F67A1">
      <w:pPr>
        <w:pStyle w:val="ListParagraph"/>
        <w:numPr>
          <w:ilvl w:val="0"/>
          <w:numId w:val="2"/>
        </w:numPr>
        <w:spacing w:after="0" w:line="360" w:lineRule="auto"/>
        <w:rPr>
          <w:rFonts w:ascii="Karla" w:hAnsi="Karla"/>
          <w:sz w:val="24"/>
          <w:szCs w:val="24"/>
        </w:rPr>
      </w:pPr>
      <w:r w:rsidRPr="007F67A1">
        <w:rPr>
          <w:rFonts w:ascii="Karla" w:hAnsi="Karla"/>
          <w:sz w:val="24"/>
          <w:szCs w:val="24"/>
        </w:rPr>
        <w:t>Increase resources available to LGAs to engage and support young people, notably through the Engage! grant round.</w:t>
      </w:r>
    </w:p>
    <w:p w:rsidR="0082036A" w:rsidRPr="007F67A1" w:rsidRDefault="0082036A" w:rsidP="007F67A1">
      <w:pPr>
        <w:pStyle w:val="ListParagraph"/>
        <w:numPr>
          <w:ilvl w:val="0"/>
          <w:numId w:val="2"/>
        </w:numPr>
        <w:spacing w:after="0" w:line="360" w:lineRule="auto"/>
        <w:rPr>
          <w:rFonts w:ascii="Karla" w:hAnsi="Karla"/>
          <w:sz w:val="24"/>
          <w:szCs w:val="24"/>
        </w:rPr>
      </w:pPr>
      <w:r w:rsidRPr="007F67A1">
        <w:rPr>
          <w:rFonts w:ascii="Karla" w:hAnsi="Karla"/>
          <w:sz w:val="24"/>
          <w:szCs w:val="24"/>
        </w:rPr>
        <w:t>Develop new mechanisms for LGA youth services to communicate regularly</w:t>
      </w:r>
      <w:r w:rsidR="007F67A1" w:rsidRPr="007F67A1">
        <w:rPr>
          <w:rFonts w:ascii="Karla" w:hAnsi="Karla"/>
          <w:sz w:val="24"/>
          <w:szCs w:val="24"/>
        </w:rPr>
        <w:t xml:space="preserve"> </w:t>
      </w:r>
      <w:r w:rsidRPr="007F67A1">
        <w:rPr>
          <w:rFonts w:ascii="Karla" w:hAnsi="Karla"/>
          <w:sz w:val="24"/>
          <w:szCs w:val="24"/>
        </w:rPr>
        <w:t>with the Victorian Government about their policies and programs, and to</w:t>
      </w:r>
      <w:r w:rsidR="007F67A1" w:rsidRPr="007F67A1">
        <w:rPr>
          <w:rFonts w:ascii="Karla" w:hAnsi="Karla"/>
          <w:sz w:val="24"/>
          <w:szCs w:val="24"/>
        </w:rPr>
        <w:t xml:space="preserve"> </w:t>
      </w:r>
      <w:r w:rsidRPr="007F67A1">
        <w:rPr>
          <w:rFonts w:ascii="Karla" w:hAnsi="Karla"/>
          <w:sz w:val="24"/>
          <w:szCs w:val="24"/>
        </w:rPr>
        <w:t>provide Government with strategic policy advice.</w:t>
      </w:r>
      <w:r w:rsidR="003F259F">
        <w:rPr>
          <w:rFonts w:ascii="Karla" w:hAnsi="Karla"/>
          <w:sz w:val="24"/>
          <w:szCs w:val="24"/>
        </w:rPr>
        <w:t xml:space="preserve"> </w:t>
      </w:r>
    </w:p>
    <w:p w:rsidR="00F31A91" w:rsidRDefault="0082036A" w:rsidP="007F67A1">
      <w:pPr>
        <w:pStyle w:val="ListParagraph"/>
        <w:numPr>
          <w:ilvl w:val="0"/>
          <w:numId w:val="2"/>
        </w:numPr>
        <w:spacing w:after="0" w:line="360" w:lineRule="auto"/>
        <w:rPr>
          <w:rFonts w:ascii="Karla" w:hAnsi="Karla"/>
          <w:sz w:val="24"/>
          <w:szCs w:val="24"/>
        </w:rPr>
      </w:pPr>
      <w:r w:rsidRPr="007F67A1">
        <w:rPr>
          <w:rFonts w:ascii="Karla" w:hAnsi="Karla"/>
          <w:sz w:val="24"/>
          <w:szCs w:val="24"/>
        </w:rPr>
        <w:t>Take steps to strengthen the formal recognition of youth service delivery as a</w:t>
      </w:r>
      <w:r w:rsidR="007F67A1" w:rsidRPr="007F67A1">
        <w:rPr>
          <w:rFonts w:ascii="Karla" w:hAnsi="Karla"/>
          <w:sz w:val="24"/>
          <w:szCs w:val="24"/>
        </w:rPr>
        <w:t xml:space="preserve"> </w:t>
      </w:r>
      <w:r w:rsidRPr="007F67A1">
        <w:rPr>
          <w:rFonts w:ascii="Karla" w:hAnsi="Karla"/>
          <w:sz w:val="24"/>
          <w:szCs w:val="24"/>
        </w:rPr>
        <w:t xml:space="preserve">core responsibility of local government. </w:t>
      </w:r>
      <w:r w:rsidR="007F67A1" w:rsidRPr="007F67A1">
        <w:rPr>
          <w:rFonts w:ascii="Karla" w:hAnsi="Karla"/>
          <w:sz w:val="24"/>
          <w:szCs w:val="24"/>
        </w:rPr>
        <w:t>It is worth ex</w:t>
      </w:r>
      <w:r w:rsidRPr="007F67A1">
        <w:rPr>
          <w:rFonts w:ascii="Karla" w:hAnsi="Karla"/>
          <w:sz w:val="24"/>
          <w:szCs w:val="24"/>
        </w:rPr>
        <w:t>amin</w:t>
      </w:r>
      <w:r w:rsidR="007F67A1" w:rsidRPr="007F67A1">
        <w:rPr>
          <w:rFonts w:ascii="Karla" w:hAnsi="Karla"/>
          <w:sz w:val="24"/>
          <w:szCs w:val="24"/>
        </w:rPr>
        <w:t>ing</w:t>
      </w:r>
      <w:r w:rsidRPr="007F67A1">
        <w:rPr>
          <w:rFonts w:ascii="Karla" w:hAnsi="Karla"/>
          <w:sz w:val="24"/>
          <w:szCs w:val="24"/>
        </w:rPr>
        <w:t xml:space="preserve"> the merits of supporting</w:t>
      </w:r>
      <w:r w:rsidR="007F67A1" w:rsidRPr="007F67A1">
        <w:rPr>
          <w:rFonts w:ascii="Karla" w:hAnsi="Karla"/>
          <w:sz w:val="24"/>
          <w:szCs w:val="24"/>
        </w:rPr>
        <w:t xml:space="preserve"> </w:t>
      </w:r>
      <w:r w:rsidRPr="007F67A1">
        <w:rPr>
          <w:rFonts w:ascii="Karla" w:hAnsi="Karla"/>
          <w:sz w:val="24"/>
          <w:szCs w:val="24"/>
        </w:rPr>
        <w:t>such a process through appropriately resourced partnerships between the</w:t>
      </w:r>
      <w:r w:rsidR="007F67A1" w:rsidRPr="007F67A1">
        <w:rPr>
          <w:rFonts w:ascii="Karla" w:hAnsi="Karla"/>
          <w:sz w:val="24"/>
          <w:szCs w:val="24"/>
        </w:rPr>
        <w:t xml:space="preserve"> </w:t>
      </w:r>
      <w:r w:rsidRPr="007F67A1">
        <w:rPr>
          <w:rFonts w:ascii="Karla" w:hAnsi="Karla"/>
          <w:sz w:val="24"/>
          <w:szCs w:val="24"/>
        </w:rPr>
        <w:t>Victorian Government and the Municipal Association of Victoria (MAV), to</w:t>
      </w:r>
      <w:r w:rsidR="007F67A1" w:rsidRPr="007F67A1">
        <w:rPr>
          <w:rFonts w:ascii="Karla" w:hAnsi="Karla"/>
          <w:sz w:val="24"/>
          <w:szCs w:val="24"/>
        </w:rPr>
        <w:t xml:space="preserve"> </w:t>
      </w:r>
      <w:r w:rsidRPr="007F67A1">
        <w:rPr>
          <w:rFonts w:ascii="Karla" w:hAnsi="Karla"/>
          <w:sz w:val="24"/>
          <w:szCs w:val="24"/>
        </w:rPr>
        <w:t>define the roles and responsibilities of state and local government in the</w:t>
      </w:r>
      <w:r w:rsidR="007F67A1" w:rsidRPr="007F67A1">
        <w:rPr>
          <w:rFonts w:ascii="Karla" w:hAnsi="Karla"/>
          <w:sz w:val="24"/>
          <w:szCs w:val="24"/>
        </w:rPr>
        <w:t xml:space="preserve"> </w:t>
      </w:r>
      <w:r w:rsidRPr="007F67A1">
        <w:rPr>
          <w:rFonts w:ascii="Karla" w:hAnsi="Karla"/>
          <w:sz w:val="24"/>
          <w:szCs w:val="24"/>
        </w:rPr>
        <w:t>planning, funding and delivery of youth services, and to support councils to</w:t>
      </w:r>
      <w:r w:rsidR="007F67A1" w:rsidRPr="007F67A1">
        <w:rPr>
          <w:rFonts w:ascii="Karla" w:hAnsi="Karla"/>
          <w:sz w:val="24"/>
          <w:szCs w:val="24"/>
        </w:rPr>
        <w:t xml:space="preserve"> </w:t>
      </w:r>
      <w:r w:rsidRPr="007F67A1">
        <w:rPr>
          <w:rFonts w:ascii="Karla" w:hAnsi="Karla"/>
          <w:sz w:val="24"/>
          <w:szCs w:val="24"/>
        </w:rPr>
        <w:t>build their capacity in youth service delivery and have input into youth policy</w:t>
      </w:r>
      <w:r w:rsidR="007F67A1" w:rsidRPr="007F67A1">
        <w:rPr>
          <w:rFonts w:ascii="Karla" w:hAnsi="Karla"/>
          <w:sz w:val="24"/>
          <w:szCs w:val="24"/>
        </w:rPr>
        <w:t xml:space="preserve"> </w:t>
      </w:r>
      <w:r w:rsidRPr="007F67A1">
        <w:rPr>
          <w:rFonts w:ascii="Karla" w:hAnsi="Karla"/>
          <w:sz w:val="24"/>
          <w:szCs w:val="24"/>
        </w:rPr>
        <w:t>frameworks and initiatives. Such collaborative work would fit within the</w:t>
      </w:r>
      <w:r w:rsidR="007F67A1" w:rsidRPr="007F67A1">
        <w:rPr>
          <w:rFonts w:ascii="Karla" w:hAnsi="Karla"/>
          <w:sz w:val="24"/>
          <w:szCs w:val="24"/>
        </w:rPr>
        <w:t xml:space="preserve"> </w:t>
      </w:r>
      <w:r w:rsidRPr="007F67A1">
        <w:rPr>
          <w:rFonts w:ascii="Karla" w:hAnsi="Karla"/>
          <w:sz w:val="24"/>
          <w:szCs w:val="24"/>
        </w:rPr>
        <w:t>overarching framework of the 2013-17 DEECD/MAV Partnership Agreement. At</w:t>
      </w:r>
      <w:r w:rsidR="007F67A1" w:rsidRPr="007F67A1">
        <w:rPr>
          <w:rFonts w:ascii="Karla" w:hAnsi="Karla"/>
          <w:sz w:val="24"/>
          <w:szCs w:val="24"/>
        </w:rPr>
        <w:t xml:space="preserve"> </w:t>
      </w:r>
      <w:r w:rsidRPr="007F67A1">
        <w:rPr>
          <w:rFonts w:ascii="Karla" w:hAnsi="Karla"/>
          <w:sz w:val="24"/>
          <w:szCs w:val="24"/>
        </w:rPr>
        <w:t>the same time, however, it is important that LGA youth services retain their</w:t>
      </w:r>
      <w:r w:rsidR="007F67A1" w:rsidRPr="007F67A1">
        <w:rPr>
          <w:rFonts w:ascii="Karla" w:hAnsi="Karla"/>
          <w:sz w:val="24"/>
          <w:szCs w:val="24"/>
        </w:rPr>
        <w:t xml:space="preserve"> </w:t>
      </w:r>
      <w:r w:rsidRPr="007F67A1">
        <w:rPr>
          <w:rFonts w:ascii="Karla" w:hAnsi="Karla"/>
          <w:sz w:val="24"/>
          <w:szCs w:val="24"/>
        </w:rPr>
        <w:t>ability to work flexibly, in response to diverse local needs and circumstances.</w:t>
      </w:r>
      <w:r w:rsidR="007F67A1" w:rsidRPr="007F67A1">
        <w:rPr>
          <w:rFonts w:ascii="Karla" w:hAnsi="Karla"/>
          <w:sz w:val="24"/>
          <w:szCs w:val="24"/>
        </w:rPr>
        <w:t xml:space="preserve"> When it comes to youth service delivery, one size does not fit all.</w:t>
      </w:r>
    </w:p>
    <w:p w:rsidR="002D3215" w:rsidRPr="002D3215" w:rsidRDefault="002D3215" w:rsidP="002D3215">
      <w:pPr>
        <w:pStyle w:val="ListParagraph"/>
        <w:numPr>
          <w:ilvl w:val="0"/>
          <w:numId w:val="2"/>
        </w:numPr>
        <w:spacing w:after="0" w:line="360" w:lineRule="auto"/>
        <w:rPr>
          <w:rFonts w:ascii="Karla" w:hAnsi="Karla"/>
          <w:sz w:val="24"/>
          <w:szCs w:val="24"/>
        </w:rPr>
      </w:pPr>
      <w:r w:rsidRPr="002D3215">
        <w:rPr>
          <w:rFonts w:ascii="Karla" w:hAnsi="Karla"/>
          <w:sz w:val="24"/>
          <w:szCs w:val="24"/>
        </w:rPr>
        <w:t>Support further research into</w:t>
      </w:r>
      <w:r>
        <w:rPr>
          <w:rFonts w:ascii="Karla" w:hAnsi="Karla"/>
          <w:sz w:val="24"/>
          <w:szCs w:val="24"/>
        </w:rPr>
        <w:t xml:space="preserve"> local government</w:t>
      </w:r>
      <w:r w:rsidRPr="002D3215">
        <w:rPr>
          <w:rFonts w:ascii="Karla" w:hAnsi="Karla"/>
          <w:sz w:val="24"/>
          <w:szCs w:val="24"/>
        </w:rPr>
        <w:t xml:space="preserve"> youth service delivery, in </w:t>
      </w:r>
      <w:r>
        <w:rPr>
          <w:rFonts w:ascii="Karla" w:hAnsi="Karla"/>
          <w:sz w:val="24"/>
          <w:szCs w:val="24"/>
        </w:rPr>
        <w:t>line</w:t>
      </w:r>
      <w:r w:rsidRPr="002D3215">
        <w:rPr>
          <w:rFonts w:ascii="Karla" w:hAnsi="Karla"/>
          <w:sz w:val="24"/>
          <w:szCs w:val="24"/>
        </w:rPr>
        <w:t xml:space="preserve"> with the work done by </w:t>
      </w:r>
      <w:r>
        <w:rPr>
          <w:rFonts w:ascii="Karla" w:hAnsi="Karla"/>
          <w:sz w:val="24"/>
          <w:szCs w:val="24"/>
        </w:rPr>
        <w:t>the Department of Education and Training</w:t>
      </w:r>
      <w:r w:rsidRPr="002D3215">
        <w:rPr>
          <w:rFonts w:ascii="Karla" w:hAnsi="Karla"/>
          <w:sz w:val="24"/>
          <w:szCs w:val="24"/>
        </w:rPr>
        <w:t xml:space="preserve"> and </w:t>
      </w:r>
      <w:r>
        <w:rPr>
          <w:rFonts w:ascii="Karla" w:hAnsi="Karla"/>
          <w:sz w:val="24"/>
          <w:szCs w:val="24"/>
        </w:rPr>
        <w:t>Municipal Association of Victoria</w:t>
      </w:r>
      <w:r w:rsidRPr="002D3215">
        <w:rPr>
          <w:rFonts w:ascii="Karla" w:hAnsi="Karla"/>
          <w:sz w:val="24"/>
          <w:szCs w:val="24"/>
        </w:rPr>
        <w:t xml:space="preserve"> </w:t>
      </w:r>
      <w:r>
        <w:rPr>
          <w:rFonts w:ascii="Karla" w:hAnsi="Karla"/>
          <w:sz w:val="24"/>
          <w:szCs w:val="24"/>
        </w:rPr>
        <w:t xml:space="preserve">in 2011. Without such strong, state-wide data, it is very hard to assess the extent, variety and value of youth service delivery by local governments, or to track how this service delivery is changing over time. </w:t>
      </w:r>
    </w:p>
    <w:p w:rsidR="003F259F" w:rsidRPr="007F67A1" w:rsidRDefault="003F259F" w:rsidP="007F67A1">
      <w:pPr>
        <w:pStyle w:val="ListParagraph"/>
        <w:numPr>
          <w:ilvl w:val="0"/>
          <w:numId w:val="2"/>
        </w:numPr>
        <w:spacing w:after="0" w:line="360" w:lineRule="auto"/>
        <w:rPr>
          <w:rFonts w:ascii="Karla" w:hAnsi="Karla"/>
          <w:sz w:val="24"/>
          <w:szCs w:val="24"/>
        </w:rPr>
      </w:pPr>
      <w:r>
        <w:rPr>
          <w:rFonts w:ascii="Karla" w:hAnsi="Karla"/>
          <w:sz w:val="24"/>
          <w:szCs w:val="24"/>
        </w:rPr>
        <w:t xml:space="preserve">For as long as rate-capping systems are operating, ensure they are developed according to an index which accurately reflects the costs of </w:t>
      </w:r>
      <w:r>
        <w:rPr>
          <w:rFonts w:ascii="Karla" w:hAnsi="Karla"/>
          <w:sz w:val="24"/>
          <w:szCs w:val="24"/>
        </w:rPr>
        <w:lastRenderedPageBreak/>
        <w:t>providing services to local communities, with provisions (where appropriate) for increasing revenue where a local government can make a case in terms of need, community support, and efficiency. (</w:t>
      </w:r>
      <w:r w:rsidR="00CF7DE0">
        <w:rPr>
          <w:rFonts w:ascii="Karla" w:hAnsi="Karla"/>
          <w:sz w:val="24"/>
          <w:szCs w:val="24"/>
        </w:rPr>
        <w:t>Here, we</w:t>
      </w:r>
      <w:r>
        <w:rPr>
          <w:rFonts w:ascii="Karla" w:hAnsi="Karla"/>
          <w:sz w:val="24"/>
          <w:szCs w:val="24"/>
        </w:rPr>
        <w:t xml:space="preserve"> note the modelling undertaken by MAV, the Victorian Local Governance Association and Rural Councils Victoria on this topic.)</w:t>
      </w:r>
    </w:p>
    <w:p w:rsidR="00BC14AD" w:rsidRDefault="00BC14AD" w:rsidP="00442D65">
      <w:pPr>
        <w:spacing w:after="0" w:line="360" w:lineRule="auto"/>
        <w:rPr>
          <w:rFonts w:ascii="Karla" w:hAnsi="Karla"/>
          <w:sz w:val="24"/>
          <w:szCs w:val="24"/>
        </w:rPr>
      </w:pPr>
    </w:p>
    <w:p w:rsidR="003F259F" w:rsidRDefault="003F259F" w:rsidP="00D9307D">
      <w:pPr>
        <w:spacing w:after="0" w:line="360" w:lineRule="auto"/>
        <w:rPr>
          <w:rFonts w:ascii="Karla" w:hAnsi="Karla"/>
          <w:sz w:val="24"/>
          <w:szCs w:val="24"/>
        </w:rPr>
      </w:pPr>
      <w:r>
        <w:rPr>
          <w:rFonts w:ascii="Karla" w:hAnsi="Karla"/>
          <w:sz w:val="24"/>
          <w:szCs w:val="24"/>
        </w:rPr>
        <w:t>We would welcome the opportunity to discuss these issues further.</w:t>
      </w:r>
    </w:p>
    <w:p w:rsidR="003F259F" w:rsidRDefault="003F259F" w:rsidP="00D9307D">
      <w:pPr>
        <w:spacing w:after="0" w:line="360" w:lineRule="auto"/>
        <w:rPr>
          <w:rFonts w:ascii="Karla" w:hAnsi="Karla"/>
          <w:sz w:val="24"/>
          <w:szCs w:val="24"/>
        </w:rPr>
      </w:pPr>
    </w:p>
    <w:p w:rsidR="004E2C0B" w:rsidRDefault="004E2C0B" w:rsidP="00D9307D">
      <w:pPr>
        <w:spacing w:after="0" w:line="360" w:lineRule="auto"/>
        <w:rPr>
          <w:rFonts w:ascii="Karla" w:hAnsi="Karla"/>
          <w:sz w:val="24"/>
          <w:szCs w:val="24"/>
        </w:rPr>
      </w:pPr>
      <w:r>
        <w:rPr>
          <w:rFonts w:ascii="Karla" w:hAnsi="Karla"/>
          <w:sz w:val="24"/>
          <w:szCs w:val="24"/>
        </w:rPr>
        <w:t>Yours sincerely,</w:t>
      </w:r>
    </w:p>
    <w:p w:rsidR="004E2C0B" w:rsidRDefault="004E2C0B" w:rsidP="00D9307D">
      <w:pPr>
        <w:spacing w:after="0" w:line="360" w:lineRule="auto"/>
        <w:rPr>
          <w:rFonts w:ascii="Karla" w:hAnsi="Karla"/>
          <w:sz w:val="24"/>
          <w:szCs w:val="24"/>
        </w:rPr>
      </w:pPr>
      <w:r>
        <w:rPr>
          <w:noProof/>
          <w:sz w:val="24"/>
          <w:lang w:eastAsia="en-AU"/>
        </w:rPr>
        <w:drawing>
          <wp:inline distT="0" distB="0" distL="0" distR="0" wp14:anchorId="46F09DA6" wp14:editId="17DCB86F">
            <wp:extent cx="1036800" cy="648000"/>
            <wp:effectExtent l="0" t="0" r="0" b="0"/>
            <wp:docPr id="5" name="Picture 5" descr="geo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800" cy="648000"/>
                    </a:xfrm>
                    <a:prstGeom prst="rect">
                      <a:avLst/>
                    </a:prstGeom>
                    <a:noFill/>
                    <a:ln>
                      <a:noFill/>
                    </a:ln>
                  </pic:spPr>
                </pic:pic>
              </a:graphicData>
            </a:graphic>
          </wp:inline>
        </w:drawing>
      </w:r>
    </w:p>
    <w:p w:rsidR="004E2C0B" w:rsidRDefault="004E2C0B" w:rsidP="00D9307D">
      <w:pPr>
        <w:spacing w:after="0" w:line="360" w:lineRule="auto"/>
        <w:rPr>
          <w:rFonts w:ascii="Karla" w:hAnsi="Karla"/>
          <w:sz w:val="24"/>
          <w:szCs w:val="24"/>
        </w:rPr>
      </w:pPr>
      <w:r>
        <w:rPr>
          <w:rFonts w:ascii="Karla" w:hAnsi="Karla"/>
          <w:sz w:val="24"/>
          <w:szCs w:val="24"/>
        </w:rPr>
        <w:t>Georgie Ferrari</w:t>
      </w:r>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bookmarkStart w:id="0" w:name="_GoBack"/>
      <w:bookmarkEnd w:id="0"/>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p>
    <w:p w:rsidR="00180F65" w:rsidRDefault="00180F65" w:rsidP="00D9307D">
      <w:pPr>
        <w:spacing w:after="0" w:line="360" w:lineRule="auto"/>
        <w:rPr>
          <w:rFonts w:ascii="Karla" w:hAnsi="Karla"/>
          <w:sz w:val="24"/>
          <w:szCs w:val="24"/>
        </w:rPr>
      </w:pPr>
    </w:p>
    <w:p w:rsidR="007201E6" w:rsidRPr="00442D65" w:rsidRDefault="00650ADD" w:rsidP="00442D65">
      <w:pPr>
        <w:spacing w:after="0" w:line="360" w:lineRule="auto"/>
        <w:rPr>
          <w:rFonts w:ascii="Karla" w:hAnsi="Karla"/>
          <w:sz w:val="24"/>
          <w:szCs w:val="24"/>
        </w:rPr>
      </w:pPr>
      <w:r>
        <w:rPr>
          <w:noProof/>
          <w:lang w:eastAsia="en-AU"/>
        </w:rPr>
        <w:drawing>
          <wp:inline distT="0" distB="0" distL="0" distR="0" wp14:anchorId="6342492F" wp14:editId="00FE7335">
            <wp:extent cx="3352530" cy="12096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 footer for letterhead.jpg"/>
                    <pic:cNvPicPr/>
                  </pic:nvPicPr>
                  <pic:blipFill>
                    <a:blip r:embed="rId10">
                      <a:extLst>
                        <a:ext uri="{28A0092B-C50C-407E-A947-70E740481C1C}">
                          <a14:useLocalDpi xmlns:a14="http://schemas.microsoft.com/office/drawing/2010/main" val="0"/>
                        </a:ext>
                      </a:extLst>
                    </a:blip>
                    <a:stretch>
                      <a:fillRect/>
                    </a:stretch>
                  </pic:blipFill>
                  <pic:spPr>
                    <a:xfrm>
                      <a:off x="0" y="0"/>
                      <a:ext cx="3390077" cy="1223223"/>
                    </a:xfrm>
                    <a:prstGeom prst="rect">
                      <a:avLst/>
                    </a:prstGeom>
                  </pic:spPr>
                </pic:pic>
              </a:graphicData>
            </a:graphic>
          </wp:inline>
        </w:drawing>
      </w:r>
    </w:p>
    <w:sectPr w:rsidR="007201E6" w:rsidRPr="00442D65" w:rsidSect="00180F65">
      <w:footerReference w:type="even" r:id="rId11"/>
      <w:footerReference w:type="default" r:id="rId12"/>
      <w:headerReference w:type="first" r:id="rId13"/>
      <w:endnotePr>
        <w:numFmt w:val="decimal"/>
      </w:endnotePr>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4D" w:rsidRDefault="00BE2C4D" w:rsidP="00BE2C4D">
      <w:pPr>
        <w:spacing w:after="0" w:line="240" w:lineRule="auto"/>
      </w:pPr>
      <w:r>
        <w:separator/>
      </w:r>
    </w:p>
  </w:endnote>
  <w:endnote w:type="continuationSeparator" w:id="0">
    <w:p w:rsidR="00BE2C4D" w:rsidRDefault="00BE2C4D" w:rsidP="00BE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03" w:rsidRPr="00FB6D03" w:rsidRDefault="00180F65">
    <w:pPr>
      <w:pStyle w:val="Footer"/>
      <w:jc w:val="right"/>
      <w:rPr>
        <w:rFonts w:ascii="Karla" w:hAnsi="Karla"/>
      </w:rPr>
    </w:pPr>
    <w:sdt>
      <w:sdtPr>
        <w:rPr>
          <w:rFonts w:ascii="Karla" w:hAnsi="Karla"/>
        </w:rPr>
        <w:id w:val="199669658"/>
        <w:docPartObj>
          <w:docPartGallery w:val="Page Numbers (Bottom of Page)"/>
          <w:docPartUnique/>
        </w:docPartObj>
      </w:sdtPr>
      <w:sdtEndPr>
        <w:rPr>
          <w:noProof/>
        </w:rPr>
      </w:sdtEndPr>
      <w:sdtContent>
        <w:r w:rsidR="00FB6D03" w:rsidRPr="00FB6D03">
          <w:rPr>
            <w:rFonts w:ascii="Karla" w:hAnsi="Karla"/>
          </w:rPr>
          <w:fldChar w:fldCharType="begin"/>
        </w:r>
        <w:r w:rsidR="00FB6D03" w:rsidRPr="00FB6D03">
          <w:rPr>
            <w:rFonts w:ascii="Karla" w:hAnsi="Karla"/>
          </w:rPr>
          <w:instrText xml:space="preserve"> PAGE   \* MERGEFORMAT </w:instrText>
        </w:r>
        <w:r w:rsidR="00FB6D03" w:rsidRPr="00FB6D03">
          <w:rPr>
            <w:rFonts w:ascii="Karla" w:hAnsi="Karla"/>
          </w:rPr>
          <w:fldChar w:fldCharType="separate"/>
        </w:r>
        <w:r w:rsidR="0008509D">
          <w:rPr>
            <w:rFonts w:ascii="Karla" w:hAnsi="Karla"/>
            <w:noProof/>
          </w:rPr>
          <w:t>2</w:t>
        </w:r>
        <w:r w:rsidR="00FB6D03" w:rsidRPr="00FB6D03">
          <w:rPr>
            <w:rFonts w:ascii="Karla" w:hAnsi="Karla"/>
            <w:noProof/>
          </w:rPr>
          <w:fldChar w:fldCharType="end"/>
        </w:r>
      </w:sdtContent>
    </w:sdt>
  </w:p>
  <w:p w:rsidR="00FB6D03" w:rsidRDefault="00FB6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9D" w:rsidRPr="00091FC2" w:rsidRDefault="0008509D">
    <w:pPr>
      <w:pStyle w:val="Footer"/>
      <w:jc w:val="right"/>
      <w:rPr>
        <w:sz w:val="20"/>
        <w:szCs w:val="20"/>
      </w:rPr>
    </w:pPr>
    <w:r w:rsidRPr="00091FC2">
      <w:rPr>
        <w:rFonts w:ascii="Karla" w:hAnsi="Karla"/>
        <w:sz w:val="20"/>
        <w:szCs w:val="20"/>
      </w:rPr>
      <w:t>YACVic, Submission: Inquiry into Rate-Capping Policy</w:t>
    </w:r>
    <w:r w:rsidRPr="00091FC2">
      <w:rPr>
        <w:sz w:val="20"/>
        <w:szCs w:val="20"/>
      </w:rPr>
      <w:t xml:space="preserve"> </w:t>
    </w:r>
    <w:sdt>
      <w:sdtPr>
        <w:rPr>
          <w:sz w:val="20"/>
          <w:szCs w:val="20"/>
        </w:rPr>
        <w:id w:val="537556580"/>
        <w:docPartObj>
          <w:docPartGallery w:val="Page Numbers (Bottom of Page)"/>
          <w:docPartUnique/>
        </w:docPartObj>
      </w:sdtPr>
      <w:sdtEndPr>
        <w:rPr>
          <w:noProof/>
        </w:rPr>
      </w:sdtEndPr>
      <w:sdtContent>
        <w:r w:rsidRPr="00091FC2">
          <w:rPr>
            <w:sz w:val="20"/>
            <w:szCs w:val="20"/>
          </w:rPr>
          <w:fldChar w:fldCharType="begin"/>
        </w:r>
        <w:r w:rsidRPr="00091FC2">
          <w:rPr>
            <w:sz w:val="20"/>
            <w:szCs w:val="20"/>
          </w:rPr>
          <w:instrText xml:space="preserve"> PAGE   \* MERGEFORMAT </w:instrText>
        </w:r>
        <w:r w:rsidRPr="00091FC2">
          <w:rPr>
            <w:sz w:val="20"/>
            <w:szCs w:val="20"/>
          </w:rPr>
          <w:fldChar w:fldCharType="separate"/>
        </w:r>
        <w:r w:rsidR="00180F65">
          <w:rPr>
            <w:noProof/>
            <w:sz w:val="20"/>
            <w:szCs w:val="20"/>
          </w:rPr>
          <w:t>5</w:t>
        </w:r>
        <w:r w:rsidRPr="00091FC2">
          <w:rPr>
            <w:noProof/>
            <w:sz w:val="20"/>
            <w:szCs w:val="20"/>
          </w:rPr>
          <w:fldChar w:fldCharType="end"/>
        </w:r>
      </w:sdtContent>
    </w:sdt>
  </w:p>
  <w:p w:rsidR="0008509D" w:rsidRDefault="0008509D" w:rsidP="0008509D">
    <w:pPr>
      <w:pStyle w:val="Footer"/>
      <w:tabs>
        <w:tab w:val="clear" w:pos="4513"/>
        <w:tab w:val="clear" w:pos="9026"/>
        <w:tab w:val="left" w:pos="78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4D" w:rsidRDefault="00BE2C4D" w:rsidP="00BE2C4D">
      <w:pPr>
        <w:spacing w:after="0" w:line="240" w:lineRule="auto"/>
      </w:pPr>
      <w:r>
        <w:separator/>
      </w:r>
    </w:p>
  </w:footnote>
  <w:footnote w:type="continuationSeparator" w:id="0">
    <w:p w:rsidR="00BE2C4D" w:rsidRDefault="00BE2C4D" w:rsidP="00BE2C4D">
      <w:pPr>
        <w:spacing w:after="0" w:line="240" w:lineRule="auto"/>
      </w:pPr>
      <w:r>
        <w:continuationSeparator/>
      </w:r>
    </w:p>
  </w:footnote>
  <w:footnote w:id="1">
    <w:p w:rsidR="0082036A" w:rsidRPr="00B337E6" w:rsidRDefault="0082036A" w:rsidP="0082036A">
      <w:pPr>
        <w:pStyle w:val="FootnoteText"/>
        <w:rPr>
          <w:rFonts w:ascii="Karla" w:hAnsi="Karla"/>
        </w:rPr>
      </w:pPr>
      <w:r w:rsidRPr="00B337E6">
        <w:rPr>
          <w:rStyle w:val="FootnoteReference"/>
        </w:rPr>
        <w:footnoteRef/>
      </w:r>
      <w:r w:rsidRPr="00B337E6">
        <w:t xml:space="preserve"> </w:t>
      </w:r>
      <w:r w:rsidRPr="00B337E6">
        <w:rPr>
          <w:rFonts w:ascii="Karla" w:hAnsi="Karla"/>
        </w:rPr>
        <w:t xml:space="preserve">For example, YACVic, 'An Education State for All,' 2015, </w:t>
      </w:r>
      <w:hyperlink r:id="rId1" w:history="1">
        <w:r w:rsidR="00B337E6" w:rsidRPr="00B337E6">
          <w:rPr>
            <w:rStyle w:val="Hyperlink"/>
            <w:rFonts w:ascii="Karla" w:hAnsi="Karla"/>
            <w:color w:val="auto"/>
          </w:rPr>
          <w:t>http://www.yacvic.org.au/policy-publications/publications-listed-by-policy-area/27-education-and-training</w:t>
        </w:r>
      </w:hyperlink>
      <w:r w:rsidRPr="00B337E6">
        <w:rPr>
          <w:rFonts w:ascii="Karla" w:hAnsi="Karla"/>
        </w:rPr>
        <w:t xml:space="preserve">; 'Plan Melbourne Refresh,' 2015, </w:t>
      </w:r>
      <w:hyperlink r:id="rId2" w:history="1">
        <w:r w:rsidR="00B337E6" w:rsidRPr="00B337E6">
          <w:rPr>
            <w:rStyle w:val="Hyperlink"/>
            <w:rFonts w:ascii="Karla" w:hAnsi="Karla"/>
            <w:color w:val="auto"/>
          </w:rPr>
          <w:t>http://www.yacvic.org.au/policy-publications/publications-listed-by-policy-area/32-public-space/635-plan-melbourne-refresh-yacvic-responds</w:t>
        </w:r>
      </w:hyperlink>
      <w:r w:rsidRPr="00B337E6">
        <w:rPr>
          <w:rFonts w:ascii="Karla" w:hAnsi="Karla"/>
        </w:rPr>
        <w:t xml:space="preserve">; 'Submission to the Royal Commission into Family Violence,' 2015, </w:t>
      </w:r>
      <w:hyperlink r:id="rId3" w:history="1">
        <w:r w:rsidR="00B337E6" w:rsidRPr="00B337E6">
          <w:rPr>
            <w:rStyle w:val="Hyperlink"/>
            <w:rFonts w:ascii="Karla" w:hAnsi="Karla"/>
            <w:color w:val="auto"/>
          </w:rPr>
          <w:t>http://www.yacvic.org.au/policy-publications/publications-listed-by-policy-area/44-safety-health-and-wellbeing</w:t>
        </w:r>
      </w:hyperlink>
      <w:r w:rsidR="00B337E6" w:rsidRPr="00B337E6">
        <w:rPr>
          <w:rFonts w:ascii="Karla" w:hAnsi="Karla"/>
        </w:rPr>
        <w:t>;</w:t>
      </w:r>
      <w:r w:rsidRPr="00B337E6">
        <w:rPr>
          <w:rFonts w:ascii="Karla" w:hAnsi="Karla"/>
        </w:rPr>
        <w:t xml:space="preserve"> 'Submission to Victoria's 10 Year Mental Health Strategy,' 2015, </w:t>
      </w:r>
      <w:hyperlink r:id="rId4" w:history="1">
        <w:r w:rsidR="00B337E6" w:rsidRPr="00B337E6">
          <w:rPr>
            <w:rStyle w:val="Hyperlink"/>
            <w:rFonts w:ascii="Karla" w:hAnsi="Karla"/>
            <w:color w:val="auto"/>
          </w:rPr>
          <w:t>http://www.yacvic.org.au/policy-publications/publications-listed-by-policy-area/44-safety-health-and-wellbeing</w:t>
        </w:r>
      </w:hyperlink>
      <w:r w:rsidR="00B337E6" w:rsidRPr="00B337E6">
        <w:rPr>
          <w:rFonts w:ascii="Karla" w:hAnsi="Karla"/>
        </w:rPr>
        <w:t xml:space="preserve"> </w:t>
      </w:r>
    </w:p>
  </w:footnote>
  <w:footnote w:id="2">
    <w:p w:rsidR="00BC14AD" w:rsidRDefault="00BC14AD">
      <w:pPr>
        <w:pStyle w:val="FootnoteText"/>
      </w:pPr>
      <w:r>
        <w:rPr>
          <w:rStyle w:val="FootnoteReference"/>
        </w:rPr>
        <w:footnoteRef/>
      </w:r>
      <w:r>
        <w:t xml:space="preserve"> </w:t>
      </w:r>
      <w:r w:rsidRPr="0061275D">
        <w:rPr>
          <w:rFonts w:ascii="Karla" w:hAnsi="Karla"/>
        </w:rPr>
        <w:t xml:space="preserve">Parliament Of Victoria, Legislative Council, Environment and Planning Committee, </w:t>
      </w:r>
      <w:r w:rsidRPr="0061275D">
        <w:rPr>
          <w:rFonts w:ascii="Karla" w:hAnsi="Karla"/>
          <w:i/>
        </w:rPr>
        <w:t>First report into rate capping policy</w:t>
      </w:r>
      <w:r w:rsidRPr="0061275D">
        <w:rPr>
          <w:rFonts w:ascii="Karla" w:hAnsi="Karla"/>
        </w:rPr>
        <w:t>, December 2015,</w:t>
      </w:r>
      <w:r>
        <w:rPr>
          <w:rFonts w:ascii="Karla" w:hAnsi="Karla"/>
        </w:rPr>
        <w:t xml:space="preserve"> p.33</w:t>
      </w:r>
    </w:p>
  </w:footnote>
  <w:footnote w:id="3">
    <w:p w:rsidR="0048226B" w:rsidRDefault="0048226B" w:rsidP="00BC14AD">
      <w:pPr>
        <w:spacing w:after="0" w:line="240" w:lineRule="auto"/>
      </w:pPr>
      <w:r w:rsidRPr="0048226B">
        <w:rPr>
          <w:rStyle w:val="FootnoteReference"/>
          <w:sz w:val="20"/>
        </w:rPr>
        <w:footnoteRef/>
      </w:r>
      <w:r w:rsidRPr="0048226B">
        <w:rPr>
          <w:sz w:val="20"/>
        </w:rPr>
        <w:t xml:space="preserve"> </w:t>
      </w:r>
      <w:r w:rsidRPr="0048226B">
        <w:rPr>
          <w:rFonts w:ascii="Karla" w:hAnsi="Karla"/>
          <w:sz w:val="20"/>
        </w:rPr>
        <w:t>The Hon. Jenny Mikakos, Minister for Families and Children, Minister for Youth Affairs, 8 October 2015, Legislative Assembly, Victorian Parliament Hansard</w:t>
      </w:r>
    </w:p>
  </w:footnote>
  <w:footnote w:id="4">
    <w:p w:rsidR="0061275D" w:rsidRPr="0061275D" w:rsidRDefault="0061275D">
      <w:pPr>
        <w:pStyle w:val="FootnoteText"/>
        <w:rPr>
          <w:rFonts w:ascii="Karla" w:hAnsi="Karla"/>
        </w:rPr>
      </w:pPr>
      <w:r w:rsidRPr="0061275D">
        <w:rPr>
          <w:rStyle w:val="FootnoteReference"/>
          <w:rFonts w:ascii="Karla" w:hAnsi="Karla"/>
        </w:rPr>
        <w:footnoteRef/>
      </w:r>
      <w:r w:rsidRPr="0061275D">
        <w:rPr>
          <w:rFonts w:ascii="Karla" w:hAnsi="Karla"/>
        </w:rPr>
        <w:t xml:space="preserve"> Environment and Planning Committee, </w:t>
      </w:r>
      <w:r w:rsidRPr="0061275D">
        <w:rPr>
          <w:rFonts w:ascii="Karla" w:hAnsi="Karla"/>
          <w:i/>
        </w:rPr>
        <w:t>First report into rate capping policy</w:t>
      </w:r>
      <w:r w:rsidRPr="0061275D">
        <w:rPr>
          <w:rFonts w:ascii="Karla" w:hAnsi="Karla"/>
        </w:rPr>
        <w:t>, pp.</w:t>
      </w:r>
      <w:r>
        <w:rPr>
          <w:rFonts w:ascii="Karla" w:hAnsi="Karla"/>
        </w:rPr>
        <w:t xml:space="preserve">16, </w:t>
      </w:r>
      <w:r w:rsidRPr="0061275D">
        <w:rPr>
          <w:rFonts w:ascii="Karla" w:hAnsi="Karla"/>
        </w:rPr>
        <w:t>31-34</w:t>
      </w:r>
    </w:p>
  </w:footnote>
  <w:footnote w:id="5">
    <w:p w:rsidR="00F31A91" w:rsidRPr="00F31A91" w:rsidRDefault="00F31A91">
      <w:pPr>
        <w:pStyle w:val="FootnoteText"/>
        <w:rPr>
          <w:rFonts w:ascii="Karla" w:hAnsi="Karla"/>
        </w:rPr>
      </w:pPr>
      <w:r w:rsidRPr="00F31A91">
        <w:rPr>
          <w:rStyle w:val="FootnoteReference"/>
          <w:rFonts w:ascii="Karla" w:hAnsi="Karla"/>
        </w:rPr>
        <w:footnoteRef/>
      </w:r>
      <w:r w:rsidRPr="00F31A91">
        <w:rPr>
          <w:rFonts w:ascii="Karla" w:hAnsi="Karla"/>
        </w:rPr>
        <w:t xml:space="preserve"> Youth Affairs Council of Victoria, 'YACVic Local Government Youth Services Forums - Report: findings of the 2014-15 forums series', 2015, </w:t>
      </w:r>
      <w:hyperlink r:id="rId5" w:history="1">
        <w:r w:rsidR="00B337E6" w:rsidRPr="00B337E6">
          <w:rPr>
            <w:rStyle w:val="Hyperlink"/>
            <w:rFonts w:ascii="Karla" w:hAnsi="Karla"/>
            <w:color w:val="auto"/>
          </w:rPr>
          <w:t>http://www.yacvic.org.au/policy-publications/publications-listed-by-policy-area/114-local-government</w:t>
        </w:r>
      </w:hyperlink>
      <w:r w:rsidR="00B337E6" w:rsidRPr="00B337E6">
        <w:rPr>
          <w:rFonts w:ascii="Karla" w:hAnsi="Karla"/>
        </w:rPr>
        <w:t xml:space="preserve"> </w:t>
      </w:r>
      <w:r w:rsidRPr="00B337E6">
        <w:rPr>
          <w:rFonts w:ascii="Karla" w:hAnsi="Karl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65" w:rsidRDefault="00442D65">
    <w:pPr>
      <w:pStyle w:val="Header"/>
    </w:pPr>
    <w:r>
      <w:rPr>
        <w:rFonts w:ascii="Arial" w:hAnsi="Arial" w:cs="Arial"/>
        <w:noProof/>
        <w:color w:val="404040" w:themeColor="text1" w:themeTint="BF"/>
        <w:sz w:val="24"/>
        <w:szCs w:val="24"/>
        <w:lang w:eastAsia="en-AU"/>
      </w:rPr>
      <w:drawing>
        <wp:inline distT="0" distB="0" distL="0" distR="0" wp14:anchorId="52E8FCE1" wp14:editId="4F3A1795">
          <wp:extent cx="3937369" cy="9239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Word-optimi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2954" cy="9252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23F"/>
    <w:multiLevelType w:val="hybridMultilevel"/>
    <w:tmpl w:val="1E5AC1EA"/>
    <w:lvl w:ilvl="0" w:tplc="96E094D4">
      <w:start w:val="20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83217D"/>
    <w:multiLevelType w:val="hybridMultilevel"/>
    <w:tmpl w:val="BFEE9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E6"/>
    <w:rsid w:val="00022BE5"/>
    <w:rsid w:val="000260CE"/>
    <w:rsid w:val="000305A0"/>
    <w:rsid w:val="00081E4A"/>
    <w:rsid w:val="0008509D"/>
    <w:rsid w:val="00091FC2"/>
    <w:rsid w:val="000B178A"/>
    <w:rsid w:val="000B1AA6"/>
    <w:rsid w:val="000B3C2C"/>
    <w:rsid w:val="000B7424"/>
    <w:rsid w:val="000D7200"/>
    <w:rsid w:val="000E6BED"/>
    <w:rsid w:val="000F0117"/>
    <w:rsid w:val="00113649"/>
    <w:rsid w:val="001308E2"/>
    <w:rsid w:val="0013766A"/>
    <w:rsid w:val="00143899"/>
    <w:rsid w:val="00180F65"/>
    <w:rsid w:val="001B1DAF"/>
    <w:rsid w:val="001F09BA"/>
    <w:rsid w:val="001F55A1"/>
    <w:rsid w:val="0020481F"/>
    <w:rsid w:val="002075E9"/>
    <w:rsid w:val="00273CB9"/>
    <w:rsid w:val="00294DB7"/>
    <w:rsid w:val="002D1E14"/>
    <w:rsid w:val="002D3215"/>
    <w:rsid w:val="0033517F"/>
    <w:rsid w:val="00361B91"/>
    <w:rsid w:val="0038346A"/>
    <w:rsid w:val="003C4676"/>
    <w:rsid w:val="003E02BF"/>
    <w:rsid w:val="003F259F"/>
    <w:rsid w:val="003F703A"/>
    <w:rsid w:val="00442D65"/>
    <w:rsid w:val="00443768"/>
    <w:rsid w:val="00463F0F"/>
    <w:rsid w:val="0048226B"/>
    <w:rsid w:val="004A11CA"/>
    <w:rsid w:val="004A6115"/>
    <w:rsid w:val="004E2C0B"/>
    <w:rsid w:val="004E2EC9"/>
    <w:rsid w:val="005168DF"/>
    <w:rsid w:val="00531827"/>
    <w:rsid w:val="00545D14"/>
    <w:rsid w:val="0058139A"/>
    <w:rsid w:val="00591130"/>
    <w:rsid w:val="005A3083"/>
    <w:rsid w:val="005B7E70"/>
    <w:rsid w:val="005C1B8A"/>
    <w:rsid w:val="005E53BE"/>
    <w:rsid w:val="005E7E84"/>
    <w:rsid w:val="005F6603"/>
    <w:rsid w:val="0061275D"/>
    <w:rsid w:val="00626FC0"/>
    <w:rsid w:val="00650ADD"/>
    <w:rsid w:val="00675727"/>
    <w:rsid w:val="00680AF5"/>
    <w:rsid w:val="00680C6C"/>
    <w:rsid w:val="00693571"/>
    <w:rsid w:val="006C677A"/>
    <w:rsid w:val="006D7C50"/>
    <w:rsid w:val="006E5F5C"/>
    <w:rsid w:val="007201E6"/>
    <w:rsid w:val="00733DB1"/>
    <w:rsid w:val="007A1500"/>
    <w:rsid w:val="007D5726"/>
    <w:rsid w:val="007F297C"/>
    <w:rsid w:val="007F67A1"/>
    <w:rsid w:val="00802D0D"/>
    <w:rsid w:val="0082036A"/>
    <w:rsid w:val="0082539A"/>
    <w:rsid w:val="008422D6"/>
    <w:rsid w:val="00857126"/>
    <w:rsid w:val="00867EA4"/>
    <w:rsid w:val="00887753"/>
    <w:rsid w:val="00890FBD"/>
    <w:rsid w:val="008A690D"/>
    <w:rsid w:val="008B38C4"/>
    <w:rsid w:val="008B4251"/>
    <w:rsid w:val="008B4960"/>
    <w:rsid w:val="008D1943"/>
    <w:rsid w:val="008D1BBC"/>
    <w:rsid w:val="008D4B78"/>
    <w:rsid w:val="009D1185"/>
    <w:rsid w:val="00A16392"/>
    <w:rsid w:val="00A27EB1"/>
    <w:rsid w:val="00A543A6"/>
    <w:rsid w:val="00A9532E"/>
    <w:rsid w:val="00AB79D7"/>
    <w:rsid w:val="00AD2DFE"/>
    <w:rsid w:val="00AE5E06"/>
    <w:rsid w:val="00B2170D"/>
    <w:rsid w:val="00B266E3"/>
    <w:rsid w:val="00B27A4E"/>
    <w:rsid w:val="00B337E6"/>
    <w:rsid w:val="00B500EC"/>
    <w:rsid w:val="00B56F9C"/>
    <w:rsid w:val="00B62928"/>
    <w:rsid w:val="00B93533"/>
    <w:rsid w:val="00BB4695"/>
    <w:rsid w:val="00BB5172"/>
    <w:rsid w:val="00BC14AD"/>
    <w:rsid w:val="00BE2C4D"/>
    <w:rsid w:val="00BF1190"/>
    <w:rsid w:val="00BF3F90"/>
    <w:rsid w:val="00C31734"/>
    <w:rsid w:val="00C84D4D"/>
    <w:rsid w:val="00CA118C"/>
    <w:rsid w:val="00CE35B5"/>
    <w:rsid w:val="00CE4357"/>
    <w:rsid w:val="00CF7DE0"/>
    <w:rsid w:val="00D3507E"/>
    <w:rsid w:val="00D44AFC"/>
    <w:rsid w:val="00D9307D"/>
    <w:rsid w:val="00DE2518"/>
    <w:rsid w:val="00E13374"/>
    <w:rsid w:val="00E41D85"/>
    <w:rsid w:val="00E82493"/>
    <w:rsid w:val="00F31A91"/>
    <w:rsid w:val="00F556B6"/>
    <w:rsid w:val="00F60442"/>
    <w:rsid w:val="00F95897"/>
    <w:rsid w:val="00FA4BDE"/>
    <w:rsid w:val="00FB6D03"/>
    <w:rsid w:val="00FE6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F5"/>
    <w:pPr>
      <w:ind w:left="720"/>
      <w:contextualSpacing/>
    </w:pPr>
  </w:style>
  <w:style w:type="character" w:styleId="Hyperlink">
    <w:name w:val="Hyperlink"/>
    <w:basedOn w:val="DefaultParagraphFont"/>
    <w:uiPriority w:val="99"/>
    <w:unhideWhenUsed/>
    <w:rsid w:val="00BE2C4D"/>
    <w:rPr>
      <w:color w:val="0000FF" w:themeColor="hyperlink"/>
      <w:u w:val="single"/>
    </w:rPr>
  </w:style>
  <w:style w:type="paragraph" w:styleId="EndnoteText">
    <w:name w:val="endnote text"/>
    <w:basedOn w:val="Normal"/>
    <w:link w:val="EndnoteTextChar"/>
    <w:uiPriority w:val="99"/>
    <w:unhideWhenUsed/>
    <w:rsid w:val="00BE2C4D"/>
    <w:pPr>
      <w:spacing w:after="0" w:line="240" w:lineRule="auto"/>
    </w:pPr>
    <w:rPr>
      <w:sz w:val="20"/>
      <w:szCs w:val="20"/>
    </w:rPr>
  </w:style>
  <w:style w:type="character" w:customStyle="1" w:styleId="EndnoteTextChar">
    <w:name w:val="Endnote Text Char"/>
    <w:basedOn w:val="DefaultParagraphFont"/>
    <w:link w:val="EndnoteText"/>
    <w:uiPriority w:val="99"/>
    <w:rsid w:val="00BE2C4D"/>
    <w:rPr>
      <w:sz w:val="20"/>
      <w:szCs w:val="20"/>
    </w:rPr>
  </w:style>
  <w:style w:type="character" w:styleId="EndnoteReference">
    <w:name w:val="endnote reference"/>
    <w:basedOn w:val="DefaultParagraphFont"/>
    <w:uiPriority w:val="99"/>
    <w:semiHidden/>
    <w:unhideWhenUsed/>
    <w:rsid w:val="00BE2C4D"/>
    <w:rPr>
      <w:vertAlign w:val="superscript"/>
    </w:rPr>
  </w:style>
  <w:style w:type="paragraph" w:styleId="BalloonText">
    <w:name w:val="Balloon Text"/>
    <w:basedOn w:val="Normal"/>
    <w:link w:val="BalloonTextChar"/>
    <w:uiPriority w:val="99"/>
    <w:semiHidden/>
    <w:unhideWhenUsed/>
    <w:rsid w:val="007A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00"/>
    <w:rPr>
      <w:rFonts w:ascii="Tahoma" w:hAnsi="Tahoma" w:cs="Tahoma"/>
      <w:sz w:val="16"/>
      <w:szCs w:val="16"/>
    </w:rPr>
  </w:style>
  <w:style w:type="paragraph" w:styleId="Header">
    <w:name w:val="header"/>
    <w:basedOn w:val="Normal"/>
    <w:link w:val="HeaderChar"/>
    <w:uiPriority w:val="99"/>
    <w:unhideWhenUsed/>
    <w:rsid w:val="0044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65"/>
  </w:style>
  <w:style w:type="paragraph" w:styleId="Footer">
    <w:name w:val="footer"/>
    <w:basedOn w:val="Normal"/>
    <w:link w:val="FooterChar"/>
    <w:uiPriority w:val="99"/>
    <w:unhideWhenUsed/>
    <w:rsid w:val="0044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65"/>
  </w:style>
  <w:style w:type="paragraph" w:styleId="FootnoteText">
    <w:name w:val="footnote text"/>
    <w:basedOn w:val="Normal"/>
    <w:link w:val="FootnoteTextChar"/>
    <w:uiPriority w:val="99"/>
    <w:semiHidden/>
    <w:unhideWhenUsed/>
    <w:rsid w:val="00D93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07D"/>
    <w:rPr>
      <w:sz w:val="20"/>
      <w:szCs w:val="20"/>
    </w:rPr>
  </w:style>
  <w:style w:type="character" w:styleId="FootnoteReference">
    <w:name w:val="footnote reference"/>
    <w:basedOn w:val="DefaultParagraphFont"/>
    <w:uiPriority w:val="99"/>
    <w:semiHidden/>
    <w:unhideWhenUsed/>
    <w:rsid w:val="00D930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AF5"/>
    <w:pPr>
      <w:ind w:left="720"/>
      <w:contextualSpacing/>
    </w:pPr>
  </w:style>
  <w:style w:type="character" w:styleId="Hyperlink">
    <w:name w:val="Hyperlink"/>
    <w:basedOn w:val="DefaultParagraphFont"/>
    <w:uiPriority w:val="99"/>
    <w:unhideWhenUsed/>
    <w:rsid w:val="00BE2C4D"/>
    <w:rPr>
      <w:color w:val="0000FF" w:themeColor="hyperlink"/>
      <w:u w:val="single"/>
    </w:rPr>
  </w:style>
  <w:style w:type="paragraph" w:styleId="EndnoteText">
    <w:name w:val="endnote text"/>
    <w:basedOn w:val="Normal"/>
    <w:link w:val="EndnoteTextChar"/>
    <w:uiPriority w:val="99"/>
    <w:unhideWhenUsed/>
    <w:rsid w:val="00BE2C4D"/>
    <w:pPr>
      <w:spacing w:after="0" w:line="240" w:lineRule="auto"/>
    </w:pPr>
    <w:rPr>
      <w:sz w:val="20"/>
      <w:szCs w:val="20"/>
    </w:rPr>
  </w:style>
  <w:style w:type="character" w:customStyle="1" w:styleId="EndnoteTextChar">
    <w:name w:val="Endnote Text Char"/>
    <w:basedOn w:val="DefaultParagraphFont"/>
    <w:link w:val="EndnoteText"/>
    <w:uiPriority w:val="99"/>
    <w:rsid w:val="00BE2C4D"/>
    <w:rPr>
      <w:sz w:val="20"/>
      <w:szCs w:val="20"/>
    </w:rPr>
  </w:style>
  <w:style w:type="character" w:styleId="EndnoteReference">
    <w:name w:val="endnote reference"/>
    <w:basedOn w:val="DefaultParagraphFont"/>
    <w:uiPriority w:val="99"/>
    <w:semiHidden/>
    <w:unhideWhenUsed/>
    <w:rsid w:val="00BE2C4D"/>
    <w:rPr>
      <w:vertAlign w:val="superscript"/>
    </w:rPr>
  </w:style>
  <w:style w:type="paragraph" w:styleId="BalloonText">
    <w:name w:val="Balloon Text"/>
    <w:basedOn w:val="Normal"/>
    <w:link w:val="BalloonTextChar"/>
    <w:uiPriority w:val="99"/>
    <w:semiHidden/>
    <w:unhideWhenUsed/>
    <w:rsid w:val="007A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00"/>
    <w:rPr>
      <w:rFonts w:ascii="Tahoma" w:hAnsi="Tahoma" w:cs="Tahoma"/>
      <w:sz w:val="16"/>
      <w:szCs w:val="16"/>
    </w:rPr>
  </w:style>
  <w:style w:type="paragraph" w:styleId="Header">
    <w:name w:val="header"/>
    <w:basedOn w:val="Normal"/>
    <w:link w:val="HeaderChar"/>
    <w:uiPriority w:val="99"/>
    <w:unhideWhenUsed/>
    <w:rsid w:val="0044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65"/>
  </w:style>
  <w:style w:type="paragraph" w:styleId="Footer">
    <w:name w:val="footer"/>
    <w:basedOn w:val="Normal"/>
    <w:link w:val="FooterChar"/>
    <w:uiPriority w:val="99"/>
    <w:unhideWhenUsed/>
    <w:rsid w:val="0044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65"/>
  </w:style>
  <w:style w:type="paragraph" w:styleId="FootnoteText">
    <w:name w:val="footnote text"/>
    <w:basedOn w:val="Normal"/>
    <w:link w:val="FootnoteTextChar"/>
    <w:uiPriority w:val="99"/>
    <w:semiHidden/>
    <w:unhideWhenUsed/>
    <w:rsid w:val="00D93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07D"/>
    <w:rPr>
      <w:sz w:val="20"/>
      <w:szCs w:val="20"/>
    </w:rPr>
  </w:style>
  <w:style w:type="character" w:styleId="FootnoteReference">
    <w:name w:val="footnote reference"/>
    <w:basedOn w:val="DefaultParagraphFont"/>
    <w:uiPriority w:val="99"/>
    <w:semiHidden/>
    <w:unhideWhenUsed/>
    <w:rsid w:val="00D93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yacvic.org.au/policy-publications/publications-listed-by-policy-area/44-safety-health-and-wellbeing" TargetMode="External"/><Relationship Id="rId2" Type="http://schemas.openxmlformats.org/officeDocument/2006/relationships/hyperlink" Target="http://www.yacvic.org.au/policy-publications/publications-listed-by-policy-area/32-public-space/635-plan-melbourne-refresh-yacvic-responds" TargetMode="External"/><Relationship Id="rId1" Type="http://schemas.openxmlformats.org/officeDocument/2006/relationships/hyperlink" Target="http://www.yacvic.org.au/policy-publications/publications-listed-by-policy-area/27-education-and-training" TargetMode="External"/><Relationship Id="rId5" Type="http://schemas.openxmlformats.org/officeDocument/2006/relationships/hyperlink" Target="http://www.yacvic.org.au/policy-publications/publications-listed-by-policy-area/114-local-government" TargetMode="External"/><Relationship Id="rId4" Type="http://schemas.openxmlformats.org/officeDocument/2006/relationships/hyperlink" Target="http://www.yacvic.org.au/policy-publications/publications-listed-by-policy-area/44-safety-health-and-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8BB5-DE2D-44CD-9C7D-07ED3AF3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17</cp:revision>
  <cp:lastPrinted>2015-07-09T04:06:00Z</cp:lastPrinted>
  <dcterms:created xsi:type="dcterms:W3CDTF">2016-03-08T05:07:00Z</dcterms:created>
  <dcterms:modified xsi:type="dcterms:W3CDTF">2016-03-30T05:40:00Z</dcterms:modified>
</cp:coreProperties>
</file>